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127" w:rsidRDefault="00036980" w:rsidP="00E56835">
      <w:pPr>
        <w:rPr>
          <w:b/>
        </w:rPr>
      </w:pPr>
      <w:r>
        <w:rPr>
          <w:b/>
        </w:rPr>
        <w:t>СУБ</w:t>
      </w:r>
      <w:r w:rsidR="00B879A4">
        <w:rPr>
          <w:b/>
        </w:rPr>
        <w:t xml:space="preserve">ЛИЦЕНЗИОННЫЙ ДОГОВОР № </w:t>
      </w:r>
      <w:r w:rsidR="0027694C">
        <w:rPr>
          <w:b/>
        </w:rPr>
        <w:t>_____</w:t>
      </w:r>
    </w:p>
    <w:p w:rsidR="00655127" w:rsidRDefault="00655127">
      <w:pPr>
        <w:jc w:val="both"/>
        <w:rPr>
          <w:sz w:val="21"/>
          <w:szCs w:val="21"/>
        </w:rPr>
      </w:pPr>
    </w:p>
    <w:p w:rsidR="00655127" w:rsidRDefault="0058764E">
      <w:pPr>
        <w:tabs>
          <w:tab w:val="right" w:pos="10773"/>
        </w:tabs>
        <w:ind w:left="426" w:firstLine="283"/>
        <w:jc w:val="both"/>
        <w:rPr>
          <w:sz w:val="21"/>
          <w:szCs w:val="21"/>
        </w:rPr>
      </w:pPr>
      <w:r>
        <w:rPr>
          <w:sz w:val="21"/>
          <w:szCs w:val="21"/>
        </w:rPr>
        <w:t>_____________</w:t>
      </w:r>
      <w:r w:rsidR="00B879A4">
        <w:rPr>
          <w:sz w:val="21"/>
          <w:szCs w:val="21"/>
        </w:rPr>
        <w:tab/>
        <w:t xml:space="preserve"> «</w:t>
      </w:r>
      <w:r>
        <w:rPr>
          <w:sz w:val="21"/>
          <w:szCs w:val="21"/>
        </w:rPr>
        <w:t>__</w:t>
      </w:r>
      <w:r w:rsidR="00B879A4">
        <w:rPr>
          <w:sz w:val="21"/>
          <w:szCs w:val="21"/>
        </w:rPr>
        <w:t xml:space="preserve">» </w:t>
      </w:r>
      <w:r>
        <w:rPr>
          <w:sz w:val="21"/>
          <w:szCs w:val="21"/>
        </w:rPr>
        <w:t>__________</w:t>
      </w:r>
      <w:r w:rsidR="00B879A4">
        <w:rPr>
          <w:sz w:val="21"/>
          <w:szCs w:val="21"/>
        </w:rPr>
        <w:t>.</w:t>
      </w:r>
    </w:p>
    <w:p w:rsidR="00655127" w:rsidRDefault="0058764E">
      <w:pPr>
        <w:pStyle w:val="af3"/>
        <w:spacing w:before="280" w:after="120" w:afterAutospacing="0"/>
        <w:ind w:left="425" w:firstLine="284"/>
        <w:jc w:val="both"/>
        <w:rPr>
          <w:bCs/>
          <w:sz w:val="21"/>
          <w:szCs w:val="21"/>
        </w:rPr>
      </w:pPr>
      <w:r>
        <w:rPr>
          <w:sz w:val="21"/>
          <w:szCs w:val="21"/>
        </w:rPr>
        <w:t>_____________________________</w:t>
      </w:r>
      <w:r w:rsidR="00B879A4">
        <w:rPr>
          <w:sz w:val="21"/>
          <w:szCs w:val="21"/>
        </w:rPr>
        <w:t xml:space="preserve"> в дальнейшем именуемое «</w:t>
      </w:r>
      <w:r w:rsidR="00D13DAC">
        <w:rPr>
          <w:b/>
          <w:sz w:val="21"/>
          <w:szCs w:val="21"/>
        </w:rPr>
        <w:t>ЛИЦЕНЗИАТ</w:t>
      </w:r>
      <w:r w:rsidR="00B879A4">
        <w:rPr>
          <w:sz w:val="21"/>
          <w:szCs w:val="21"/>
        </w:rPr>
        <w:t xml:space="preserve">», в лице </w:t>
      </w:r>
      <w:r>
        <w:rPr>
          <w:sz w:val="21"/>
          <w:szCs w:val="21"/>
        </w:rPr>
        <w:t>_______________________</w:t>
      </w:r>
      <w:r w:rsidR="00B879A4">
        <w:rPr>
          <w:bCs/>
          <w:sz w:val="21"/>
          <w:szCs w:val="21"/>
        </w:rPr>
        <w:t xml:space="preserve">, действующего на основании </w:t>
      </w:r>
      <w:r>
        <w:rPr>
          <w:bCs/>
          <w:sz w:val="21"/>
          <w:szCs w:val="21"/>
        </w:rPr>
        <w:t>____________________</w:t>
      </w:r>
      <w:r w:rsidR="00B879A4">
        <w:rPr>
          <w:bCs/>
          <w:sz w:val="21"/>
          <w:szCs w:val="21"/>
        </w:rPr>
        <w:t xml:space="preserve">, с одной </w:t>
      </w:r>
      <w:r w:rsidR="00B879A4">
        <w:rPr>
          <w:sz w:val="21"/>
          <w:szCs w:val="21"/>
        </w:rPr>
        <w:t>стороны и ООО «</w:t>
      </w:r>
      <w:r w:rsidR="00B879A4" w:rsidRPr="00B879A4">
        <w:rPr>
          <w:sz w:val="21"/>
          <w:szCs w:val="21"/>
        </w:rPr>
        <w:t>НОВАТЭК-Кострома</w:t>
      </w:r>
      <w:r w:rsidR="00B879A4">
        <w:rPr>
          <w:sz w:val="21"/>
          <w:szCs w:val="21"/>
        </w:rPr>
        <w:t>», в дальнейшем именуемое «</w:t>
      </w:r>
      <w:r w:rsidR="00D13DAC">
        <w:rPr>
          <w:b/>
          <w:sz w:val="21"/>
          <w:szCs w:val="21"/>
        </w:rPr>
        <w:t>СУБЛИЦЕНЗИАТ</w:t>
      </w:r>
      <w:r w:rsidR="00B879A4">
        <w:rPr>
          <w:sz w:val="21"/>
          <w:szCs w:val="21"/>
        </w:rPr>
        <w:t xml:space="preserve">», в лице </w:t>
      </w:r>
      <w:r>
        <w:rPr>
          <w:sz w:val="21"/>
          <w:szCs w:val="21"/>
        </w:rPr>
        <w:t xml:space="preserve">Генерального директора Смирнова Дмитрия </w:t>
      </w:r>
      <w:r w:rsidR="00F54889">
        <w:rPr>
          <w:sz w:val="21"/>
          <w:szCs w:val="21"/>
        </w:rPr>
        <w:t>Михайловича</w:t>
      </w:r>
      <w:r w:rsidR="00B879A4">
        <w:rPr>
          <w:sz w:val="21"/>
          <w:szCs w:val="21"/>
        </w:rPr>
        <w:t xml:space="preserve">, действующего на основании </w:t>
      </w:r>
      <w:r>
        <w:rPr>
          <w:sz w:val="21"/>
          <w:szCs w:val="21"/>
        </w:rPr>
        <w:t>Устава</w:t>
      </w:r>
      <w:r w:rsidR="00B879A4">
        <w:rPr>
          <w:bCs/>
          <w:sz w:val="21"/>
          <w:szCs w:val="21"/>
        </w:rPr>
        <w:t>, с другой стороны, заключили настоящий договор о нижеследующем:</w:t>
      </w:r>
    </w:p>
    <w:p w:rsidR="00655127" w:rsidRDefault="00B879A4">
      <w:pPr>
        <w:numPr>
          <w:ilvl w:val="0"/>
          <w:numId w:val="1"/>
        </w:numPr>
        <w:spacing w:before="60" w:after="60"/>
        <w:ind w:left="357" w:hanging="357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ПРЕДМЕТ ДОГОВОРА</w:t>
      </w:r>
    </w:p>
    <w:p w:rsidR="00655127" w:rsidRDefault="00D13DAC">
      <w:pPr>
        <w:numPr>
          <w:ilvl w:val="1"/>
          <w:numId w:val="3"/>
        </w:numPr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ЛИЦЕНЗИАТ</w:t>
      </w:r>
      <w:r w:rsidR="00B879A4">
        <w:rPr>
          <w:bCs/>
          <w:sz w:val="21"/>
          <w:szCs w:val="21"/>
        </w:rPr>
        <w:t xml:space="preserve">, имея соответствующие полномочия от правообладателей, обязуется передать </w:t>
      </w:r>
      <w:r>
        <w:rPr>
          <w:bCs/>
          <w:sz w:val="21"/>
          <w:szCs w:val="21"/>
        </w:rPr>
        <w:t>СУБЛИЦЕНЗИАТУ</w:t>
      </w:r>
      <w:r w:rsidR="00B879A4">
        <w:rPr>
          <w:bCs/>
          <w:sz w:val="21"/>
          <w:szCs w:val="21"/>
        </w:rPr>
        <w:t xml:space="preserve"> право на использование (простую неисключительную лицензию) приобретаемых им по настоящему Договору программ для ЭВМ и баз данных (далее – «продукты»).</w:t>
      </w:r>
    </w:p>
    <w:p w:rsidR="00655127" w:rsidRDefault="00B879A4">
      <w:pPr>
        <w:numPr>
          <w:ilvl w:val="1"/>
          <w:numId w:val="3"/>
        </w:numPr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Право на использование продуктов подразумевает под собой неисключительное право на воспроизведение в целях их инсталляции и запуска, а также право на совершение в отношении них иных действий в соответствии с условиями «Пользовательского лицензионного соглашения», входящего в состав поставки каждого продукта. </w:t>
      </w:r>
    </w:p>
    <w:p w:rsidR="00655127" w:rsidRDefault="00B879A4">
      <w:pPr>
        <w:numPr>
          <w:ilvl w:val="1"/>
          <w:numId w:val="3"/>
        </w:numPr>
        <w:spacing w:after="120"/>
        <w:ind w:left="788" w:hanging="431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Наименование продуктов, права на использование которых передаются </w:t>
      </w:r>
      <w:r w:rsidR="00D13DAC">
        <w:rPr>
          <w:bCs/>
          <w:sz w:val="21"/>
          <w:szCs w:val="21"/>
        </w:rPr>
        <w:t>ЛИЦЕНЗИАТОМ</w:t>
      </w:r>
      <w:r>
        <w:rPr>
          <w:bCs/>
          <w:sz w:val="21"/>
          <w:szCs w:val="21"/>
        </w:rPr>
        <w:t xml:space="preserve"> </w:t>
      </w:r>
      <w:r w:rsidR="00D13DAC">
        <w:rPr>
          <w:bCs/>
          <w:sz w:val="21"/>
          <w:szCs w:val="21"/>
        </w:rPr>
        <w:t>СУБЛИЦЕНЗИАТУ</w:t>
      </w:r>
      <w:r>
        <w:rPr>
          <w:bCs/>
          <w:sz w:val="21"/>
          <w:szCs w:val="21"/>
        </w:rPr>
        <w:t>:</w:t>
      </w:r>
    </w:p>
    <w:tbl>
      <w:tblPr>
        <w:tblW w:w="1037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736"/>
        <w:gridCol w:w="5387"/>
        <w:gridCol w:w="1135"/>
        <w:gridCol w:w="1558"/>
        <w:gridCol w:w="1560"/>
      </w:tblGrid>
      <w:tr w:rsidR="00655127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27" w:rsidRDefault="00B879A4">
            <w:pPr>
              <w:widowControl w:val="0"/>
              <w:spacing w:line="360" w:lineRule="auto"/>
              <w:ind w:left="142" w:right="142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27" w:rsidRDefault="00B879A4">
            <w:pPr>
              <w:widowControl w:val="0"/>
              <w:spacing w:line="360" w:lineRule="auto"/>
              <w:ind w:left="142" w:right="142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27" w:rsidRDefault="00B879A4">
            <w:pPr>
              <w:widowControl w:val="0"/>
              <w:spacing w:line="360" w:lineRule="auto"/>
              <w:ind w:left="142" w:right="142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Кол-во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27" w:rsidRDefault="00B879A4">
            <w:pPr>
              <w:widowControl w:val="0"/>
              <w:spacing w:line="360" w:lineRule="auto"/>
              <w:ind w:left="142" w:right="142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Стоимость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27" w:rsidRDefault="00B879A4">
            <w:pPr>
              <w:widowControl w:val="0"/>
              <w:spacing w:line="360" w:lineRule="auto"/>
              <w:ind w:left="142" w:right="142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Сумма</w:t>
            </w:r>
          </w:p>
        </w:tc>
      </w:tr>
      <w:tr w:rsidR="00655127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27" w:rsidRDefault="00B879A4">
            <w:pPr>
              <w:widowControl w:val="0"/>
              <w:ind w:left="142" w:right="14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27" w:rsidRDefault="00B879A4">
            <w:pPr>
              <w:widowControl w:val="0"/>
              <w:rPr>
                <w:sz w:val="21"/>
                <w:szCs w:val="21"/>
              </w:rPr>
            </w:pPr>
            <w:proofErr w:type="spellStart"/>
            <w:proofErr w:type="gramStart"/>
            <w:r w:rsidRPr="00B879A4">
              <w:rPr>
                <w:sz w:val="21"/>
                <w:szCs w:val="21"/>
              </w:rPr>
              <w:t>ГНИВЦ:Налоговый</w:t>
            </w:r>
            <w:proofErr w:type="spellEnd"/>
            <w:proofErr w:type="gramEnd"/>
            <w:r w:rsidRPr="00B879A4">
              <w:rPr>
                <w:sz w:val="21"/>
                <w:szCs w:val="21"/>
              </w:rPr>
              <w:t xml:space="preserve"> мониторинг. Дополнение к 1</w:t>
            </w:r>
            <w:proofErr w:type="gramStart"/>
            <w:r w:rsidRPr="00B879A4">
              <w:rPr>
                <w:sz w:val="21"/>
                <w:szCs w:val="21"/>
              </w:rPr>
              <w:t>С:НМ</w:t>
            </w:r>
            <w:proofErr w:type="gramEnd"/>
            <w:r w:rsidRPr="00B879A4">
              <w:rPr>
                <w:sz w:val="21"/>
                <w:szCs w:val="21"/>
              </w:rPr>
              <w:t>, 1С:ERP.УХ, 1С:УХ 8 (версия 2023 г). Лицензия для дочерних обществ. Электронная поставка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27" w:rsidRDefault="00B879A4">
            <w:pPr>
              <w:widowControl w:val="0"/>
              <w:ind w:left="142" w:right="14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27" w:rsidRDefault="00655127">
            <w:pPr>
              <w:pStyle w:val="af3"/>
              <w:widowControl w:val="0"/>
              <w:jc w:val="right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27" w:rsidRDefault="00655127">
            <w:pPr>
              <w:pStyle w:val="af3"/>
              <w:widowControl w:val="0"/>
              <w:jc w:val="right"/>
              <w:rPr>
                <w:sz w:val="21"/>
                <w:szCs w:val="21"/>
              </w:rPr>
            </w:pPr>
          </w:p>
        </w:tc>
      </w:tr>
      <w:tr w:rsidR="00655127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27" w:rsidRDefault="00655127">
            <w:pPr>
              <w:widowControl w:val="0"/>
              <w:ind w:left="142" w:right="142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27" w:rsidRDefault="00B879A4">
            <w:pPr>
              <w:widowControl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27" w:rsidRDefault="00655127">
            <w:pPr>
              <w:widowControl w:val="0"/>
              <w:ind w:left="142" w:right="142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27" w:rsidRDefault="00655127">
            <w:pPr>
              <w:widowControl w:val="0"/>
              <w:ind w:right="142"/>
              <w:jc w:val="right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27" w:rsidRDefault="00655127">
            <w:pPr>
              <w:widowControl w:val="0"/>
              <w:ind w:right="142"/>
              <w:jc w:val="right"/>
              <w:rPr>
                <w:b/>
                <w:sz w:val="21"/>
                <w:szCs w:val="21"/>
              </w:rPr>
            </w:pPr>
          </w:p>
        </w:tc>
      </w:tr>
    </w:tbl>
    <w:p w:rsidR="009039F1" w:rsidRDefault="00B879A4" w:rsidP="009039F1">
      <w:pPr>
        <w:numPr>
          <w:ilvl w:val="1"/>
          <w:numId w:val="3"/>
        </w:numPr>
        <w:spacing w:before="120"/>
        <w:ind w:left="788" w:hanging="431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Настоящим </w:t>
      </w:r>
      <w:r w:rsidR="00D13DAC">
        <w:rPr>
          <w:bCs/>
          <w:sz w:val="21"/>
          <w:szCs w:val="21"/>
        </w:rPr>
        <w:t>ЛИЦЕНЗИАТ</w:t>
      </w:r>
      <w:r>
        <w:rPr>
          <w:bCs/>
          <w:sz w:val="21"/>
          <w:szCs w:val="21"/>
        </w:rPr>
        <w:t xml:space="preserve"> свидетельствует о том, что продукт передается </w:t>
      </w:r>
      <w:r w:rsidR="00D13DAC">
        <w:rPr>
          <w:bCs/>
          <w:sz w:val="21"/>
          <w:szCs w:val="21"/>
        </w:rPr>
        <w:t>СУБЛИЦЕНЗИАТУ</w:t>
      </w:r>
      <w:r>
        <w:rPr>
          <w:bCs/>
          <w:sz w:val="21"/>
          <w:szCs w:val="21"/>
        </w:rPr>
        <w:t xml:space="preserve"> свободным от любых прав третьих лиц (включая арест и залог).</w:t>
      </w:r>
    </w:p>
    <w:p w:rsidR="00655127" w:rsidRDefault="00B879A4" w:rsidP="009039F1">
      <w:pPr>
        <w:numPr>
          <w:ilvl w:val="1"/>
          <w:numId w:val="3"/>
        </w:numPr>
        <w:spacing w:before="120"/>
        <w:ind w:left="788" w:hanging="431"/>
        <w:jc w:val="both"/>
        <w:rPr>
          <w:bCs/>
          <w:sz w:val="21"/>
          <w:szCs w:val="21"/>
        </w:rPr>
      </w:pPr>
      <w:r w:rsidRPr="009039F1">
        <w:rPr>
          <w:bCs/>
          <w:sz w:val="21"/>
          <w:szCs w:val="21"/>
        </w:rPr>
        <w:t xml:space="preserve">Обязанность </w:t>
      </w:r>
      <w:r w:rsidR="00D13DAC" w:rsidRPr="009039F1">
        <w:rPr>
          <w:bCs/>
          <w:sz w:val="21"/>
          <w:szCs w:val="21"/>
        </w:rPr>
        <w:t>ЛИЦЕНЗИАТА</w:t>
      </w:r>
      <w:r w:rsidRPr="009039F1">
        <w:rPr>
          <w:bCs/>
          <w:sz w:val="21"/>
          <w:szCs w:val="21"/>
        </w:rPr>
        <w:t xml:space="preserve"> по передаче продуктов считается исполненной с момента передачи продуктов (или кодов активации/лицензий) </w:t>
      </w:r>
      <w:r w:rsidR="00D13DAC" w:rsidRPr="009039F1">
        <w:rPr>
          <w:bCs/>
          <w:sz w:val="21"/>
          <w:szCs w:val="21"/>
        </w:rPr>
        <w:t>СУБЛИЦЕНЗИАТУ</w:t>
      </w:r>
      <w:r w:rsidRPr="009039F1">
        <w:rPr>
          <w:bCs/>
          <w:sz w:val="21"/>
          <w:szCs w:val="21"/>
        </w:rPr>
        <w:t>.</w:t>
      </w:r>
    </w:p>
    <w:p w:rsidR="009039F1" w:rsidRPr="009039F1" w:rsidRDefault="009039F1" w:rsidP="009039F1">
      <w:pPr>
        <w:spacing w:before="120"/>
        <w:ind w:left="788"/>
        <w:jc w:val="both"/>
        <w:rPr>
          <w:bCs/>
          <w:sz w:val="21"/>
          <w:szCs w:val="21"/>
        </w:rPr>
      </w:pPr>
    </w:p>
    <w:p w:rsidR="00655127" w:rsidRDefault="00B879A4" w:rsidP="0058764E">
      <w:pPr>
        <w:numPr>
          <w:ilvl w:val="0"/>
          <w:numId w:val="1"/>
        </w:numPr>
        <w:spacing w:before="60" w:after="60"/>
        <w:ind w:left="357" w:firstLine="69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ЦЕНА ДОГОВОРА</w:t>
      </w:r>
    </w:p>
    <w:p w:rsidR="009039F1" w:rsidRDefault="009039F1" w:rsidP="009039F1">
      <w:pPr>
        <w:numPr>
          <w:ilvl w:val="1"/>
          <w:numId w:val="4"/>
        </w:numPr>
        <w:ind w:left="851" w:hanging="425"/>
        <w:jc w:val="both"/>
        <w:rPr>
          <w:sz w:val="21"/>
          <w:szCs w:val="21"/>
        </w:rPr>
      </w:pPr>
      <w:r>
        <w:rPr>
          <w:sz w:val="21"/>
          <w:szCs w:val="21"/>
        </w:rPr>
        <w:t>Ц</w:t>
      </w:r>
      <w:r w:rsidRPr="009039F1">
        <w:rPr>
          <w:sz w:val="21"/>
          <w:szCs w:val="21"/>
        </w:rPr>
        <w:t>ена договора составляет: ___________(______________) рублей. В цену входят расходы на перевозку, страхование, уплата пошлин, налогов, и других обязательных платежей. Под ценой договора подразумевается вознаграждение, которое полагается ЛИЦЕНЗИАТУ за переданные права и которое фиксируется в двусторонних Актах передачи прав. Цена не облагается НДС на основании пп.26.п.2 ст.149 НК РФ.</w:t>
      </w:r>
    </w:p>
    <w:p w:rsidR="009039F1" w:rsidRDefault="009039F1" w:rsidP="009039F1">
      <w:pPr>
        <w:numPr>
          <w:ilvl w:val="1"/>
          <w:numId w:val="4"/>
        </w:numPr>
        <w:ind w:left="851" w:hanging="425"/>
        <w:jc w:val="both"/>
        <w:rPr>
          <w:sz w:val="21"/>
          <w:szCs w:val="21"/>
        </w:rPr>
      </w:pPr>
      <w:r>
        <w:rPr>
          <w:sz w:val="21"/>
          <w:szCs w:val="21"/>
        </w:rPr>
        <w:t>Выплата вознаграждения</w:t>
      </w:r>
      <w:r w:rsidRPr="0058764E">
        <w:rPr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>ЛИЦЕНЗИАТУ</w:t>
      </w:r>
      <w:r>
        <w:rPr>
          <w:sz w:val="21"/>
          <w:szCs w:val="21"/>
        </w:rPr>
        <w:t xml:space="preserve"> осуществляется в безналичном порядке </w:t>
      </w:r>
      <w:r w:rsidRPr="0058764E">
        <w:rPr>
          <w:sz w:val="21"/>
          <w:szCs w:val="21"/>
        </w:rPr>
        <w:t>в течение 10 рабочих дней с даты подписания Акта передачи прав пользования по Договору</w:t>
      </w:r>
      <w:r>
        <w:rPr>
          <w:sz w:val="21"/>
          <w:szCs w:val="21"/>
        </w:rPr>
        <w:t>.</w:t>
      </w:r>
    </w:p>
    <w:p w:rsidR="009039F1" w:rsidRPr="009039F1" w:rsidRDefault="009039F1" w:rsidP="009039F1">
      <w:pPr>
        <w:ind w:left="851"/>
        <w:jc w:val="both"/>
        <w:rPr>
          <w:sz w:val="21"/>
          <w:szCs w:val="21"/>
        </w:rPr>
      </w:pPr>
    </w:p>
    <w:p w:rsidR="00655127" w:rsidRDefault="00B879A4">
      <w:pPr>
        <w:numPr>
          <w:ilvl w:val="0"/>
          <w:numId w:val="1"/>
        </w:numPr>
        <w:spacing w:before="60" w:after="60"/>
        <w:ind w:left="357" w:hanging="357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ПРАВА И ОБЯЗАТЕЛЬСТВА </w:t>
      </w:r>
      <w:r w:rsidR="00036980">
        <w:rPr>
          <w:b/>
          <w:sz w:val="21"/>
          <w:szCs w:val="21"/>
        </w:rPr>
        <w:t>СУБ</w:t>
      </w:r>
      <w:r>
        <w:rPr>
          <w:b/>
          <w:sz w:val="21"/>
          <w:szCs w:val="21"/>
        </w:rPr>
        <w:t>ЛИЦЕНЗИАТА.</w:t>
      </w:r>
    </w:p>
    <w:p w:rsidR="00655127" w:rsidRDefault="00D13DAC">
      <w:pPr>
        <w:numPr>
          <w:ilvl w:val="0"/>
          <w:numId w:val="5"/>
        </w:numPr>
        <w:ind w:left="851" w:hanging="425"/>
        <w:jc w:val="both"/>
        <w:rPr>
          <w:sz w:val="21"/>
          <w:szCs w:val="21"/>
        </w:rPr>
      </w:pPr>
      <w:r>
        <w:rPr>
          <w:bCs/>
          <w:sz w:val="21"/>
          <w:szCs w:val="21"/>
        </w:rPr>
        <w:t>СУБЛИЦЕНЗИАТ</w:t>
      </w:r>
      <w:r w:rsidR="00B879A4">
        <w:rPr>
          <w:bCs/>
          <w:sz w:val="21"/>
          <w:szCs w:val="21"/>
        </w:rPr>
        <w:t xml:space="preserve"> </w:t>
      </w:r>
      <w:r w:rsidR="00B879A4">
        <w:rPr>
          <w:sz w:val="21"/>
          <w:szCs w:val="21"/>
        </w:rPr>
        <w:t xml:space="preserve">обязуется оплатить и принять продукты согласно условиям настоящего договора. </w:t>
      </w:r>
    </w:p>
    <w:p w:rsidR="00655127" w:rsidRDefault="00B879A4">
      <w:pPr>
        <w:numPr>
          <w:ilvl w:val="0"/>
          <w:numId w:val="5"/>
        </w:numPr>
        <w:ind w:left="851" w:hanging="425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При приемке продуктов от </w:t>
      </w:r>
      <w:r w:rsidR="00D13DAC">
        <w:rPr>
          <w:bCs/>
          <w:sz w:val="21"/>
          <w:szCs w:val="21"/>
        </w:rPr>
        <w:t>ЛИЦЕНЗИАТА</w:t>
      </w:r>
      <w:r>
        <w:rPr>
          <w:bCs/>
          <w:sz w:val="21"/>
          <w:szCs w:val="21"/>
        </w:rPr>
        <w:t xml:space="preserve"> </w:t>
      </w:r>
      <w:r w:rsidR="00036980">
        <w:rPr>
          <w:bCs/>
          <w:sz w:val="21"/>
          <w:szCs w:val="21"/>
        </w:rPr>
        <w:t>СУБЛИЦЕНЗИАТ</w:t>
      </w:r>
      <w:r>
        <w:rPr>
          <w:bCs/>
          <w:sz w:val="21"/>
          <w:szCs w:val="21"/>
        </w:rPr>
        <w:t xml:space="preserve"> проверяет соответствие наименования, количества продуктов пункту 1.3. настоящего договора. </w:t>
      </w:r>
      <w:r w:rsidR="00D13DAC">
        <w:rPr>
          <w:bCs/>
          <w:sz w:val="21"/>
          <w:szCs w:val="21"/>
        </w:rPr>
        <w:t>СУБЛИЦЕНЗИАТ</w:t>
      </w:r>
      <w:r>
        <w:rPr>
          <w:bCs/>
          <w:sz w:val="21"/>
          <w:szCs w:val="21"/>
        </w:rPr>
        <w:t xml:space="preserve"> осуществляет проверку наименования, количества продуктов при получении их от </w:t>
      </w:r>
      <w:r w:rsidR="00D13DAC">
        <w:rPr>
          <w:bCs/>
          <w:sz w:val="21"/>
          <w:szCs w:val="21"/>
        </w:rPr>
        <w:t>ЛИЦЕНЗИАТА</w:t>
      </w:r>
      <w:r>
        <w:rPr>
          <w:bCs/>
          <w:sz w:val="21"/>
          <w:szCs w:val="21"/>
        </w:rPr>
        <w:t>. По результатам приемки продуктов Стороны составляют и подписывают двусторонние Акты передачи прав.</w:t>
      </w:r>
    </w:p>
    <w:p w:rsidR="00655127" w:rsidRDefault="00B879A4">
      <w:pPr>
        <w:numPr>
          <w:ilvl w:val="0"/>
          <w:numId w:val="5"/>
        </w:numPr>
        <w:ind w:left="851" w:hanging="425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Датой исполнения обязательства </w:t>
      </w:r>
      <w:r w:rsidR="00D70B9F">
        <w:rPr>
          <w:bCs/>
          <w:sz w:val="21"/>
          <w:szCs w:val="21"/>
        </w:rPr>
        <w:t>СУБЛИЦЕНЗИАТА</w:t>
      </w:r>
      <w:r>
        <w:rPr>
          <w:bCs/>
          <w:sz w:val="21"/>
          <w:szCs w:val="21"/>
        </w:rPr>
        <w:t xml:space="preserve"> по оплате считается дата </w:t>
      </w:r>
      <w:r w:rsidR="00022FF3">
        <w:rPr>
          <w:bCs/>
          <w:sz w:val="21"/>
          <w:szCs w:val="21"/>
        </w:rPr>
        <w:t>списания</w:t>
      </w:r>
      <w:r>
        <w:rPr>
          <w:bCs/>
          <w:sz w:val="21"/>
          <w:szCs w:val="21"/>
        </w:rPr>
        <w:t xml:space="preserve"> денежных средств </w:t>
      </w:r>
      <w:r w:rsidR="00022FF3">
        <w:rPr>
          <w:bCs/>
          <w:sz w:val="21"/>
          <w:szCs w:val="21"/>
        </w:rPr>
        <w:t>с расчетного</w:t>
      </w:r>
      <w:r>
        <w:rPr>
          <w:bCs/>
          <w:sz w:val="21"/>
          <w:szCs w:val="21"/>
        </w:rPr>
        <w:t xml:space="preserve"> счет</w:t>
      </w:r>
      <w:r w:rsidR="00022FF3">
        <w:rPr>
          <w:bCs/>
          <w:sz w:val="21"/>
          <w:szCs w:val="21"/>
        </w:rPr>
        <w:t xml:space="preserve">а </w:t>
      </w:r>
      <w:r w:rsidR="00036980">
        <w:rPr>
          <w:bCs/>
          <w:sz w:val="21"/>
          <w:szCs w:val="21"/>
        </w:rPr>
        <w:t>СУБЛИЦЕНЗИАТА</w:t>
      </w:r>
      <w:r>
        <w:rPr>
          <w:bCs/>
          <w:sz w:val="21"/>
          <w:szCs w:val="21"/>
        </w:rPr>
        <w:t>.</w:t>
      </w:r>
    </w:p>
    <w:p w:rsidR="00655127" w:rsidRDefault="00D70B9F">
      <w:pPr>
        <w:numPr>
          <w:ilvl w:val="0"/>
          <w:numId w:val="5"/>
        </w:numPr>
        <w:ind w:left="851" w:hanging="425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СУБИЦЕНЗИАТ</w:t>
      </w:r>
      <w:r w:rsidR="00B879A4">
        <w:rPr>
          <w:bCs/>
          <w:sz w:val="21"/>
          <w:szCs w:val="21"/>
        </w:rPr>
        <w:t xml:space="preserve"> обязуется строго придерживаться и не нарушать правил лицензионного использования продуктов.</w:t>
      </w:r>
    </w:p>
    <w:p w:rsidR="00655127" w:rsidRDefault="00D70B9F">
      <w:pPr>
        <w:numPr>
          <w:ilvl w:val="0"/>
          <w:numId w:val="5"/>
        </w:numPr>
        <w:ind w:left="851" w:hanging="425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СУБЛИЦЕНЗИАТ</w:t>
      </w:r>
      <w:r w:rsidR="00B879A4">
        <w:rPr>
          <w:bCs/>
          <w:sz w:val="21"/>
          <w:szCs w:val="21"/>
        </w:rPr>
        <w:t xml:space="preserve"> обязуется не осуществлять действий по обходу технических средств защиты, встроенных в продукты.</w:t>
      </w:r>
    </w:p>
    <w:p w:rsidR="00655127" w:rsidRDefault="00D70B9F">
      <w:pPr>
        <w:numPr>
          <w:ilvl w:val="0"/>
          <w:numId w:val="5"/>
        </w:numPr>
        <w:ind w:left="851" w:hanging="425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СУБЛИЦЕНЗИАТ </w:t>
      </w:r>
      <w:r w:rsidR="00B879A4">
        <w:rPr>
          <w:bCs/>
          <w:sz w:val="21"/>
          <w:szCs w:val="21"/>
        </w:rPr>
        <w:t xml:space="preserve">вправе, в случае обнаружения некачественного продукта, если эти недостатки не были оговорены сторонами при заключении договора, невыполнения </w:t>
      </w:r>
      <w:r>
        <w:rPr>
          <w:bCs/>
          <w:sz w:val="21"/>
          <w:szCs w:val="21"/>
        </w:rPr>
        <w:t>ЛИЦЕНЗИАТОМ</w:t>
      </w:r>
      <w:r w:rsidR="00B879A4">
        <w:rPr>
          <w:bCs/>
          <w:sz w:val="21"/>
          <w:szCs w:val="21"/>
        </w:rPr>
        <w:t xml:space="preserve"> иных условий настоящего договора, потребовать от </w:t>
      </w:r>
      <w:r>
        <w:rPr>
          <w:bCs/>
          <w:sz w:val="21"/>
          <w:szCs w:val="21"/>
        </w:rPr>
        <w:t>ЛИЦЕНЗИАТА</w:t>
      </w:r>
      <w:r w:rsidR="00B879A4">
        <w:rPr>
          <w:bCs/>
          <w:sz w:val="21"/>
          <w:szCs w:val="21"/>
        </w:rPr>
        <w:t xml:space="preserve"> соразмерного уменьшения покупной цены; безвозмездного устранения недостатков продуктов в разумный срок.</w:t>
      </w:r>
    </w:p>
    <w:p w:rsidR="00655127" w:rsidRDefault="00B879A4">
      <w:pPr>
        <w:keepNext/>
        <w:numPr>
          <w:ilvl w:val="0"/>
          <w:numId w:val="1"/>
        </w:numPr>
        <w:spacing w:before="60" w:after="60"/>
        <w:ind w:left="357" w:hanging="357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ПРАВА И ОБ</w:t>
      </w:r>
      <w:r w:rsidR="00036980">
        <w:rPr>
          <w:b/>
          <w:sz w:val="21"/>
          <w:szCs w:val="21"/>
        </w:rPr>
        <w:t>ЯЗАТЕЛЬСТВА, ГАРАНТИИ ЛИЦЕНЗИАТА</w:t>
      </w:r>
      <w:r>
        <w:rPr>
          <w:b/>
          <w:sz w:val="21"/>
          <w:szCs w:val="21"/>
        </w:rPr>
        <w:t>.</w:t>
      </w:r>
    </w:p>
    <w:p w:rsidR="00655127" w:rsidRDefault="00D70B9F">
      <w:pPr>
        <w:pStyle w:val="a"/>
        <w:numPr>
          <w:ilvl w:val="0"/>
          <w:numId w:val="6"/>
        </w:numPr>
        <w:ind w:left="851" w:hanging="425"/>
        <w:jc w:val="both"/>
        <w:rPr>
          <w:bCs/>
          <w:sz w:val="21"/>
          <w:szCs w:val="21"/>
          <w:lang w:val="ru-RU"/>
        </w:rPr>
      </w:pPr>
      <w:r>
        <w:rPr>
          <w:bCs/>
          <w:sz w:val="21"/>
          <w:szCs w:val="21"/>
          <w:lang w:val="ru-RU"/>
        </w:rPr>
        <w:t>ЛИЦЕНЗИАТ</w:t>
      </w:r>
      <w:r w:rsidR="00B879A4">
        <w:rPr>
          <w:bCs/>
          <w:sz w:val="21"/>
          <w:szCs w:val="21"/>
          <w:lang w:val="ru-RU"/>
        </w:rPr>
        <w:t xml:space="preserve"> обязуется передать </w:t>
      </w:r>
      <w:r>
        <w:rPr>
          <w:bCs/>
          <w:sz w:val="21"/>
          <w:szCs w:val="21"/>
          <w:lang w:val="ru-RU"/>
        </w:rPr>
        <w:t>СУБЛИЦЕНЗИАТУ</w:t>
      </w:r>
      <w:r w:rsidR="00B879A4">
        <w:rPr>
          <w:bCs/>
          <w:sz w:val="21"/>
          <w:szCs w:val="21"/>
          <w:lang w:val="ru-RU"/>
        </w:rPr>
        <w:t xml:space="preserve"> продукты (со всеми принадлежностями и документами) согласно пунктам 1.1 - 1.3 настоящего договора в течение 10 рабочих дней с даты </w:t>
      </w:r>
      <w:r w:rsidR="00022FF3">
        <w:rPr>
          <w:bCs/>
          <w:sz w:val="21"/>
          <w:szCs w:val="21"/>
          <w:lang w:val="ru-RU"/>
        </w:rPr>
        <w:t>подписания</w:t>
      </w:r>
      <w:r w:rsidR="00B879A4">
        <w:rPr>
          <w:bCs/>
          <w:sz w:val="21"/>
          <w:szCs w:val="21"/>
          <w:lang w:val="ru-RU"/>
        </w:rPr>
        <w:t xml:space="preserve"> настоящего договора.</w:t>
      </w:r>
    </w:p>
    <w:p w:rsidR="00655127" w:rsidRDefault="00D70B9F">
      <w:pPr>
        <w:pStyle w:val="a"/>
        <w:numPr>
          <w:ilvl w:val="0"/>
          <w:numId w:val="6"/>
        </w:numPr>
        <w:ind w:left="851" w:hanging="425"/>
        <w:jc w:val="both"/>
        <w:rPr>
          <w:bCs/>
          <w:sz w:val="21"/>
          <w:szCs w:val="21"/>
          <w:lang w:val="ru-RU"/>
        </w:rPr>
      </w:pPr>
      <w:r>
        <w:rPr>
          <w:bCs/>
          <w:sz w:val="21"/>
          <w:szCs w:val="21"/>
          <w:lang w:val="ru-RU"/>
        </w:rPr>
        <w:t>ЛИЦЕНЗИАТ</w:t>
      </w:r>
      <w:r w:rsidR="00B879A4">
        <w:rPr>
          <w:bCs/>
          <w:sz w:val="21"/>
          <w:szCs w:val="21"/>
          <w:lang w:val="ru-RU"/>
        </w:rPr>
        <w:t xml:space="preserve"> гарантирует, что передаваемые </w:t>
      </w:r>
      <w:r>
        <w:rPr>
          <w:bCs/>
          <w:sz w:val="21"/>
          <w:szCs w:val="21"/>
          <w:lang w:val="ru-RU"/>
        </w:rPr>
        <w:t>СУБЛИЦЕНЗИАТУ</w:t>
      </w:r>
      <w:r w:rsidR="00B879A4">
        <w:rPr>
          <w:bCs/>
          <w:sz w:val="21"/>
          <w:szCs w:val="21"/>
          <w:lang w:val="ru-RU"/>
        </w:rPr>
        <w:t xml:space="preserve"> по договору имущественные права на использование приобретаемых им по настоящему договору программ для ЭВМ и баз данных: лицензионной программы, принадлежат </w:t>
      </w:r>
      <w:r>
        <w:rPr>
          <w:bCs/>
          <w:sz w:val="21"/>
          <w:szCs w:val="21"/>
          <w:lang w:val="ru-RU"/>
        </w:rPr>
        <w:t>ЛИЦЕНЗИАТУ</w:t>
      </w:r>
      <w:r w:rsidR="00B879A4">
        <w:rPr>
          <w:bCs/>
          <w:sz w:val="21"/>
          <w:szCs w:val="21"/>
          <w:lang w:val="ru-RU"/>
        </w:rPr>
        <w:t xml:space="preserve"> на законных основаниях. </w:t>
      </w:r>
      <w:r w:rsidR="00036980">
        <w:rPr>
          <w:bCs/>
          <w:sz w:val="21"/>
          <w:szCs w:val="21"/>
          <w:lang w:val="ru-RU"/>
        </w:rPr>
        <w:t>ЛИЦЕНЗИАТ</w:t>
      </w:r>
      <w:r w:rsidR="00B879A4">
        <w:rPr>
          <w:bCs/>
          <w:sz w:val="21"/>
          <w:szCs w:val="21"/>
          <w:lang w:val="ru-RU"/>
        </w:rPr>
        <w:t xml:space="preserve"> вправе передавать </w:t>
      </w:r>
      <w:r w:rsidR="00B879A4">
        <w:rPr>
          <w:bCs/>
          <w:sz w:val="21"/>
          <w:szCs w:val="21"/>
          <w:lang w:val="ru-RU"/>
        </w:rPr>
        <w:lastRenderedPageBreak/>
        <w:t xml:space="preserve">названные права </w:t>
      </w:r>
      <w:r>
        <w:rPr>
          <w:bCs/>
          <w:sz w:val="21"/>
          <w:szCs w:val="21"/>
          <w:lang w:val="ru-RU"/>
        </w:rPr>
        <w:t>СУБЛИЦЕНЗИАТУ</w:t>
      </w:r>
      <w:r w:rsidR="00B879A4">
        <w:rPr>
          <w:bCs/>
          <w:sz w:val="21"/>
          <w:szCs w:val="21"/>
          <w:lang w:val="ru-RU"/>
        </w:rPr>
        <w:t>; на момент заключения договора передаваемые продукты являются свободными от каких бы то ни было требований третьих лиц, как связанных с самими продуктами, так и связанных с предоставляемыми по договору правами.</w:t>
      </w:r>
    </w:p>
    <w:p w:rsidR="00655127" w:rsidRDefault="008401F1">
      <w:pPr>
        <w:pStyle w:val="a"/>
        <w:numPr>
          <w:ilvl w:val="0"/>
          <w:numId w:val="6"/>
        </w:numPr>
        <w:ind w:left="851" w:hanging="425"/>
        <w:jc w:val="both"/>
        <w:rPr>
          <w:bCs/>
          <w:sz w:val="21"/>
          <w:szCs w:val="21"/>
          <w:lang w:val="ru-RU"/>
        </w:rPr>
      </w:pPr>
      <w:r w:rsidRPr="008401F1">
        <w:rPr>
          <w:sz w:val="21"/>
          <w:szCs w:val="21"/>
          <w:lang w:val="ru-RU"/>
        </w:rPr>
        <w:t xml:space="preserve">ЛИЦЕЗИАТ </w:t>
      </w:r>
      <w:r w:rsidR="00B879A4">
        <w:rPr>
          <w:bCs/>
          <w:sz w:val="21"/>
          <w:szCs w:val="21"/>
          <w:lang w:val="ru-RU"/>
        </w:rPr>
        <w:t xml:space="preserve">заявляет, что на момент подписания договора ему ничего не известно о правах третьих лиц, которые могли бы быть нарушены предоставлением </w:t>
      </w:r>
      <w:r w:rsidR="00D70B9F" w:rsidRPr="00D70B9F">
        <w:rPr>
          <w:bCs/>
          <w:sz w:val="21"/>
          <w:szCs w:val="21"/>
          <w:lang w:val="ru-RU"/>
        </w:rPr>
        <w:t>СУБЛИЦЕНЗИАТ</w:t>
      </w:r>
      <w:r w:rsidR="00D70B9F">
        <w:rPr>
          <w:bCs/>
          <w:sz w:val="21"/>
          <w:szCs w:val="21"/>
          <w:lang w:val="ru-RU"/>
        </w:rPr>
        <w:t xml:space="preserve">У </w:t>
      </w:r>
      <w:r w:rsidR="00B879A4">
        <w:rPr>
          <w:bCs/>
          <w:sz w:val="21"/>
          <w:szCs w:val="21"/>
          <w:lang w:val="ru-RU"/>
        </w:rPr>
        <w:t>имущественных прав использования продуктов по данному договору.</w:t>
      </w:r>
    </w:p>
    <w:p w:rsidR="00655127" w:rsidRDefault="008401F1">
      <w:pPr>
        <w:pStyle w:val="a"/>
        <w:numPr>
          <w:ilvl w:val="0"/>
          <w:numId w:val="6"/>
        </w:numPr>
        <w:ind w:left="851" w:hanging="425"/>
        <w:jc w:val="both"/>
        <w:rPr>
          <w:bCs/>
          <w:sz w:val="21"/>
          <w:szCs w:val="21"/>
          <w:lang w:val="ru-RU"/>
        </w:rPr>
      </w:pPr>
      <w:r w:rsidRPr="008401F1">
        <w:rPr>
          <w:sz w:val="21"/>
          <w:szCs w:val="21"/>
          <w:lang w:val="ru-RU"/>
        </w:rPr>
        <w:t xml:space="preserve">ЛИЦЕЗИАТ </w:t>
      </w:r>
      <w:r w:rsidR="00B879A4">
        <w:rPr>
          <w:bCs/>
          <w:sz w:val="21"/>
          <w:szCs w:val="21"/>
          <w:lang w:val="ru-RU"/>
        </w:rPr>
        <w:t>гарантирует, что пе</w:t>
      </w:r>
      <w:r w:rsidR="00036980">
        <w:rPr>
          <w:bCs/>
          <w:sz w:val="21"/>
          <w:szCs w:val="21"/>
          <w:lang w:val="ru-RU"/>
        </w:rPr>
        <w:t>редаваемые продукты соответствую</w:t>
      </w:r>
      <w:r w:rsidR="00B879A4">
        <w:rPr>
          <w:bCs/>
          <w:sz w:val="21"/>
          <w:szCs w:val="21"/>
          <w:lang w:val="ru-RU"/>
        </w:rPr>
        <w:t>т функциональным и техническим параметрам, указанным в программной документации, при условии установки на указанных аппаратных средствах.</w:t>
      </w:r>
    </w:p>
    <w:p w:rsidR="00655127" w:rsidRDefault="00B879A4">
      <w:pPr>
        <w:keepNext/>
        <w:numPr>
          <w:ilvl w:val="0"/>
          <w:numId w:val="1"/>
        </w:numPr>
        <w:spacing w:before="60" w:after="60"/>
        <w:ind w:left="357" w:hanging="357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ОТВЕТСТВЕНОСТЬ СТОРОН.</w:t>
      </w:r>
    </w:p>
    <w:p w:rsidR="00655127" w:rsidRDefault="00B879A4">
      <w:pPr>
        <w:numPr>
          <w:ilvl w:val="0"/>
          <w:numId w:val="7"/>
        </w:numPr>
        <w:ind w:left="851" w:hanging="425"/>
        <w:jc w:val="both"/>
        <w:rPr>
          <w:sz w:val="21"/>
          <w:szCs w:val="21"/>
        </w:rPr>
      </w:pPr>
      <w:r>
        <w:rPr>
          <w:sz w:val="21"/>
          <w:szCs w:val="21"/>
        </w:rPr>
        <w:t>Стороны несут ответственность за неисполнение или ненадлежащее исполнение в соответствии с действующим законодательством РФ.</w:t>
      </w:r>
    </w:p>
    <w:p w:rsidR="00655127" w:rsidRDefault="00B879A4">
      <w:pPr>
        <w:numPr>
          <w:ilvl w:val="0"/>
          <w:numId w:val="7"/>
        </w:numPr>
        <w:ind w:left="851" w:hanging="425"/>
        <w:jc w:val="both"/>
        <w:rPr>
          <w:sz w:val="21"/>
          <w:szCs w:val="21"/>
        </w:rPr>
      </w:pPr>
      <w:r>
        <w:rPr>
          <w:sz w:val="21"/>
          <w:szCs w:val="21"/>
        </w:rPr>
        <w:t>В случае несвоевременной передачи продуктов и прав использования в соот</w:t>
      </w:r>
      <w:r w:rsidR="008401F1">
        <w:rPr>
          <w:sz w:val="21"/>
          <w:szCs w:val="21"/>
        </w:rPr>
        <w:t xml:space="preserve">ветствии с условиями договора, ЛИЦЕЗИАТ обязуется выплатить </w:t>
      </w:r>
      <w:r w:rsidR="00D70B9F">
        <w:rPr>
          <w:sz w:val="21"/>
          <w:szCs w:val="21"/>
        </w:rPr>
        <w:t>СУБЛИЦЕНЗИАТУ</w:t>
      </w:r>
      <w:r>
        <w:rPr>
          <w:sz w:val="21"/>
          <w:szCs w:val="21"/>
        </w:rPr>
        <w:t xml:space="preserve"> на основании его письменного требования пеню в размере 0,1% от стоимости несвоевременно переданных продуктов и прав использования продуктов за каждый день просрочки.</w:t>
      </w:r>
    </w:p>
    <w:p w:rsidR="00022FF3" w:rsidRDefault="00022FF3" w:rsidP="00022FF3">
      <w:pPr>
        <w:numPr>
          <w:ilvl w:val="0"/>
          <w:numId w:val="7"/>
        </w:numPr>
        <w:ind w:left="851" w:hanging="425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В случае несвоевременной оплаты вознаграждения </w:t>
      </w:r>
      <w:r w:rsidR="008401F1">
        <w:rPr>
          <w:sz w:val="21"/>
          <w:szCs w:val="21"/>
        </w:rPr>
        <w:t xml:space="preserve">СУБЛИЦЕНЗИАТОМ </w:t>
      </w:r>
      <w:r>
        <w:rPr>
          <w:sz w:val="21"/>
          <w:szCs w:val="21"/>
        </w:rPr>
        <w:t xml:space="preserve">продуктов и прав использования в соответствии с условиями договора, </w:t>
      </w:r>
      <w:r w:rsidR="00D753CE">
        <w:rPr>
          <w:sz w:val="21"/>
          <w:szCs w:val="21"/>
        </w:rPr>
        <w:t>СУБЛИЦЕНЗИАТ</w:t>
      </w:r>
      <w:r>
        <w:rPr>
          <w:sz w:val="21"/>
          <w:szCs w:val="21"/>
        </w:rPr>
        <w:t xml:space="preserve"> обязуется выплатить </w:t>
      </w:r>
      <w:r w:rsidR="00AE40F1">
        <w:rPr>
          <w:sz w:val="21"/>
          <w:szCs w:val="21"/>
        </w:rPr>
        <w:t>ЛИЦЕНЗИАТУ</w:t>
      </w:r>
      <w:r>
        <w:rPr>
          <w:sz w:val="21"/>
          <w:szCs w:val="21"/>
        </w:rPr>
        <w:t xml:space="preserve"> на основании его письменного требования пеню в размере 0,1% от стоимости Договора за каждый день просрочки.</w:t>
      </w:r>
    </w:p>
    <w:p w:rsidR="00022FF3" w:rsidRPr="00F54889" w:rsidRDefault="00022FF3" w:rsidP="00022FF3">
      <w:pPr>
        <w:ind w:left="851"/>
        <w:jc w:val="both"/>
        <w:rPr>
          <w:sz w:val="21"/>
          <w:szCs w:val="21"/>
        </w:rPr>
      </w:pPr>
    </w:p>
    <w:p w:rsidR="00655127" w:rsidRDefault="00B879A4">
      <w:pPr>
        <w:keepNext/>
        <w:numPr>
          <w:ilvl w:val="0"/>
          <w:numId w:val="1"/>
        </w:numPr>
        <w:spacing w:before="60" w:after="60"/>
        <w:ind w:left="357" w:hanging="357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СРОК ДЕЙСТВИЯ ДОГОВОРА, ПРОЧИЕ УСЛОВИЯ</w:t>
      </w:r>
    </w:p>
    <w:p w:rsidR="00655127" w:rsidRDefault="00B879A4">
      <w:pPr>
        <w:numPr>
          <w:ilvl w:val="1"/>
          <w:numId w:val="8"/>
        </w:numPr>
        <w:ind w:left="851" w:hanging="425"/>
        <w:jc w:val="both"/>
        <w:rPr>
          <w:sz w:val="21"/>
          <w:szCs w:val="21"/>
        </w:rPr>
      </w:pPr>
      <w:r>
        <w:rPr>
          <w:sz w:val="21"/>
          <w:szCs w:val="21"/>
        </w:rPr>
        <w:t>Договор вступает в силу с даты его подписания и действует до момента исполнения Сторонами, взятых на себя обязательств.</w:t>
      </w:r>
    </w:p>
    <w:p w:rsidR="00655127" w:rsidRDefault="00B879A4">
      <w:pPr>
        <w:numPr>
          <w:ilvl w:val="1"/>
          <w:numId w:val="8"/>
        </w:numPr>
        <w:ind w:left="851" w:hanging="425"/>
        <w:jc w:val="both"/>
        <w:rPr>
          <w:sz w:val="21"/>
          <w:szCs w:val="21"/>
        </w:rPr>
      </w:pPr>
      <w:r>
        <w:rPr>
          <w:sz w:val="21"/>
          <w:szCs w:val="21"/>
        </w:rPr>
        <w:t>Стороны признают документы, переданные посредством систем электронного документооборота и подписанные электронной подписью (</w:t>
      </w:r>
      <w:hyperlink r:id="rId8" w:tgtFrame="_blank">
        <w:r>
          <w:rPr>
            <w:sz w:val="21"/>
            <w:szCs w:val="21"/>
          </w:rPr>
          <w:t>ФЗ от 06.04.2011 № 63-ФЗ</w:t>
        </w:r>
      </w:hyperlink>
      <w:r>
        <w:rPr>
          <w:sz w:val="21"/>
          <w:szCs w:val="21"/>
        </w:rPr>
        <w:t>)</w:t>
      </w:r>
    </w:p>
    <w:p w:rsidR="00655127" w:rsidRDefault="00B879A4">
      <w:pPr>
        <w:numPr>
          <w:ilvl w:val="1"/>
          <w:numId w:val="8"/>
        </w:numPr>
        <w:ind w:left="851" w:hanging="425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Объем и срок действия прав на использование в отношении конкретных продуктов, переданных </w:t>
      </w:r>
      <w:r w:rsidR="00D70B9F">
        <w:rPr>
          <w:sz w:val="21"/>
          <w:szCs w:val="21"/>
        </w:rPr>
        <w:t>СУБЛИЦЕНЗИАТУ</w:t>
      </w:r>
      <w:r>
        <w:rPr>
          <w:sz w:val="21"/>
          <w:szCs w:val="21"/>
        </w:rPr>
        <w:t xml:space="preserve"> в период действия настоящего лицензионного договора, определяется «Пользовательским лицензионным соглашениям»</w:t>
      </w:r>
      <w:r w:rsidR="006C7AD1">
        <w:rPr>
          <w:sz w:val="21"/>
          <w:szCs w:val="21"/>
        </w:rPr>
        <w:t xml:space="preserve"> (Приложение №2 Договора</w:t>
      </w:r>
      <w:bookmarkStart w:id="0" w:name="_GoBack"/>
      <w:bookmarkEnd w:id="0"/>
      <w:r w:rsidR="006C7AD1">
        <w:rPr>
          <w:sz w:val="21"/>
          <w:szCs w:val="21"/>
        </w:rPr>
        <w:t>)</w:t>
      </w:r>
      <w:r>
        <w:rPr>
          <w:sz w:val="21"/>
          <w:szCs w:val="21"/>
        </w:rPr>
        <w:t>, входящим в состав поставок продуктов.</w:t>
      </w:r>
    </w:p>
    <w:p w:rsidR="00655127" w:rsidRDefault="00B879A4">
      <w:pPr>
        <w:numPr>
          <w:ilvl w:val="1"/>
          <w:numId w:val="8"/>
        </w:numPr>
        <w:ind w:left="851" w:hanging="425"/>
        <w:jc w:val="both"/>
        <w:rPr>
          <w:sz w:val="21"/>
          <w:szCs w:val="21"/>
        </w:rPr>
      </w:pPr>
      <w:r>
        <w:rPr>
          <w:sz w:val="21"/>
          <w:szCs w:val="21"/>
        </w:rPr>
        <w:t>Вопросы, не урегулированные настоящим договором, определяются в соответствии с требованиями действующего законодательства.</w:t>
      </w:r>
    </w:p>
    <w:p w:rsidR="00655127" w:rsidRDefault="00B879A4">
      <w:pPr>
        <w:numPr>
          <w:ilvl w:val="1"/>
          <w:numId w:val="8"/>
        </w:numPr>
        <w:ind w:left="851" w:hanging="425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Все изменения и дополнения к настоящему договору должны быть составлены в письменной форме и подписаны Сторонами.</w:t>
      </w:r>
    </w:p>
    <w:p w:rsidR="00973CB7" w:rsidRDefault="00E823FA" w:rsidP="00F81B72">
      <w:pPr>
        <w:numPr>
          <w:ilvl w:val="1"/>
          <w:numId w:val="8"/>
        </w:numPr>
        <w:ind w:left="851" w:hanging="425"/>
        <w:jc w:val="both"/>
        <w:rPr>
          <w:sz w:val="21"/>
          <w:szCs w:val="21"/>
        </w:rPr>
      </w:pPr>
      <w:r>
        <w:rPr>
          <w:sz w:val="21"/>
          <w:szCs w:val="21"/>
        </w:rPr>
        <w:t>СУБЛИЦЕНЗИАТ</w:t>
      </w:r>
      <w:r w:rsidR="00F54889" w:rsidRPr="00F81B72">
        <w:rPr>
          <w:sz w:val="21"/>
          <w:szCs w:val="21"/>
        </w:rPr>
        <w:t xml:space="preserve"> </w:t>
      </w:r>
      <w:r w:rsidR="00F81B72" w:rsidRPr="00F81B72">
        <w:rPr>
          <w:sz w:val="21"/>
          <w:szCs w:val="21"/>
        </w:rPr>
        <w:t xml:space="preserve">информирует </w:t>
      </w:r>
      <w:r w:rsidR="00036980">
        <w:rPr>
          <w:sz w:val="21"/>
          <w:szCs w:val="21"/>
        </w:rPr>
        <w:t>ЛИЦЕНЗИАТА</w:t>
      </w:r>
      <w:r w:rsidR="00F81B72" w:rsidRPr="00F81B72">
        <w:rPr>
          <w:sz w:val="21"/>
          <w:szCs w:val="21"/>
        </w:rPr>
        <w:t xml:space="preserve"> о принципах и требованиях Антикоррупционной политики ООО «НОВАТЭК-Кострома» (далее – Политика)</w:t>
      </w:r>
      <w:r w:rsidR="00F54889">
        <w:rPr>
          <w:sz w:val="21"/>
          <w:szCs w:val="21"/>
        </w:rPr>
        <w:t xml:space="preserve">. Заключением Договора </w:t>
      </w:r>
      <w:r>
        <w:rPr>
          <w:sz w:val="21"/>
          <w:szCs w:val="21"/>
        </w:rPr>
        <w:t>ЛИЦЕНЗИАТ</w:t>
      </w:r>
      <w:r w:rsidR="00F81B72" w:rsidRPr="00F81B72">
        <w:rPr>
          <w:sz w:val="21"/>
          <w:szCs w:val="21"/>
        </w:rPr>
        <w:t xml:space="preserve"> подтверждает ознакомление с Политикой Общества. При исполнении своих обязательств по Договору Стороны обязуются соблюдать и обеспечить соблюдение их работниками требований российского антикоррупционного законодательства. К коррупционным правонарушениям в целях Договора относятся, в том числе прямо или косвенно, лично или через посредников предложение, обещание,  получение/дача взятки,  коммерческий подкуп, предоставление/ получение выгоды в виде денег, ценностей, иного имущества или услуг имущественного характера, иных имущественных прав, выгод неимущественного характера любыми лицами и от любых лиц, в том числе представителей органов государственной власти, муниципальных органов, коммерческих и некоммерческих организаций, иностранных должностных лиц, органов и организаций, для оказания влияния на их решения, действия/бездействие с целью получения или сохранения каких-либо неправомерных преимуществ или иных неправомерных целей для себя, для бизнеса или для третьих лиц (далее – Коррупционные правонарушения). </w:t>
      </w:r>
    </w:p>
    <w:p w:rsidR="00973CB7" w:rsidRDefault="00F81B72" w:rsidP="00973CB7">
      <w:pPr>
        <w:ind w:left="851"/>
        <w:jc w:val="both"/>
        <w:rPr>
          <w:sz w:val="21"/>
          <w:szCs w:val="21"/>
        </w:rPr>
      </w:pPr>
      <w:r w:rsidRPr="00F81B72">
        <w:rPr>
          <w:sz w:val="21"/>
          <w:szCs w:val="21"/>
        </w:rPr>
        <w:t>В случае возникновения у Стороны обоснованного 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работника(</w:t>
      </w:r>
      <w:proofErr w:type="spellStart"/>
      <w:r w:rsidRPr="00F81B72">
        <w:rPr>
          <w:sz w:val="21"/>
          <w:szCs w:val="21"/>
        </w:rPr>
        <w:t>ов</w:t>
      </w:r>
      <w:proofErr w:type="spellEnd"/>
      <w:r w:rsidRPr="00F81B72">
        <w:rPr>
          <w:sz w:val="21"/>
          <w:szCs w:val="21"/>
        </w:rPr>
        <w:t>) другой Стороны в связи с совершением коррупционного преступления либо иной достоверной информации о Коррупционном правонарушении), такая Сторона обязуется уведомить об этом другую Сторону в письменной форме с указанием на соответствующие факты (далее – Уведомление) и вправе не исполнять обязательства по Договору до получения подтверждения от другой Стороны, что Коррупционное правонарушение не произошло или не может произойти. Указанное подтверждение должно быть предоставлено другой Стороной в течение 10 (десяти) рабочих дней с даты получения Уведомления.</w:t>
      </w:r>
    </w:p>
    <w:p w:rsidR="00F81B72" w:rsidRPr="00F81B72" w:rsidRDefault="00F81B72" w:rsidP="00973CB7">
      <w:pPr>
        <w:ind w:left="851"/>
        <w:jc w:val="both"/>
        <w:rPr>
          <w:sz w:val="21"/>
          <w:szCs w:val="21"/>
        </w:rPr>
      </w:pPr>
      <w:r w:rsidRPr="00F81B72">
        <w:rPr>
          <w:sz w:val="21"/>
          <w:szCs w:val="21"/>
        </w:rPr>
        <w:t>Сторона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частично, направив соответствующее письменное уведомление другой Стороне, а также потребовать от другой Стороны возмещения убытков, причиненных расторжением Договора.</w:t>
      </w:r>
    </w:p>
    <w:p w:rsidR="00655127" w:rsidRDefault="00B879A4">
      <w:pPr>
        <w:numPr>
          <w:ilvl w:val="1"/>
          <w:numId w:val="8"/>
        </w:numPr>
        <w:ind w:left="851" w:hanging="425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Все споры, возникающие из настоящего договора, разрешаются сторонами путем проведения переговоров, в случае не урегулирования – споры передаются на рассмотрение в Арбитражный суд </w:t>
      </w:r>
      <w:r w:rsidR="00E56835">
        <w:rPr>
          <w:sz w:val="21"/>
          <w:szCs w:val="21"/>
        </w:rPr>
        <w:t>Костромской области</w:t>
      </w:r>
      <w:r>
        <w:rPr>
          <w:sz w:val="21"/>
          <w:szCs w:val="21"/>
        </w:rPr>
        <w:t>.</w:t>
      </w:r>
    </w:p>
    <w:p w:rsidR="00973CB7" w:rsidRDefault="00973CB7" w:rsidP="00973CB7">
      <w:pPr>
        <w:numPr>
          <w:ilvl w:val="1"/>
          <w:numId w:val="8"/>
        </w:numPr>
        <w:ind w:left="851" w:hanging="425"/>
        <w:jc w:val="both"/>
        <w:rPr>
          <w:sz w:val="21"/>
          <w:szCs w:val="21"/>
        </w:rPr>
      </w:pPr>
      <w:r w:rsidRPr="00973CB7">
        <w:rPr>
          <w:sz w:val="21"/>
          <w:szCs w:val="21"/>
        </w:rPr>
        <w:t>Все Приложения к настоящему Договору являются его неотъемлемой частью:</w:t>
      </w:r>
    </w:p>
    <w:p w:rsidR="00973CB7" w:rsidRDefault="00973CB7" w:rsidP="00973CB7">
      <w:pPr>
        <w:ind w:left="851"/>
        <w:jc w:val="both"/>
        <w:rPr>
          <w:sz w:val="21"/>
          <w:szCs w:val="21"/>
        </w:rPr>
      </w:pPr>
      <w:r>
        <w:t xml:space="preserve">- </w:t>
      </w:r>
      <w:r w:rsidRPr="00973CB7">
        <w:rPr>
          <w:sz w:val="21"/>
          <w:szCs w:val="21"/>
        </w:rPr>
        <w:t>Приложение №1 Форма Акта приема-передачи прав</w:t>
      </w:r>
    </w:p>
    <w:p w:rsidR="003A6BBA" w:rsidRDefault="003A6BBA" w:rsidP="003A6BBA">
      <w:pPr>
        <w:ind w:left="851"/>
        <w:jc w:val="both"/>
        <w:rPr>
          <w:sz w:val="21"/>
          <w:szCs w:val="21"/>
        </w:rPr>
      </w:pPr>
      <w:r>
        <w:t xml:space="preserve">- </w:t>
      </w:r>
      <w:r>
        <w:rPr>
          <w:sz w:val="21"/>
          <w:szCs w:val="21"/>
        </w:rPr>
        <w:t>Приложение №2</w:t>
      </w:r>
      <w:r w:rsidRPr="00973CB7">
        <w:rPr>
          <w:sz w:val="21"/>
          <w:szCs w:val="21"/>
        </w:rPr>
        <w:t xml:space="preserve"> </w:t>
      </w:r>
      <w:r>
        <w:rPr>
          <w:sz w:val="21"/>
          <w:szCs w:val="21"/>
        </w:rPr>
        <w:t>Пользовательское лицензионное соглашение</w:t>
      </w:r>
    </w:p>
    <w:p w:rsidR="003A6BBA" w:rsidRPr="00973CB7" w:rsidRDefault="003A6BBA" w:rsidP="00973CB7">
      <w:pPr>
        <w:ind w:left="851"/>
        <w:jc w:val="both"/>
        <w:rPr>
          <w:sz w:val="21"/>
          <w:szCs w:val="21"/>
        </w:rPr>
      </w:pPr>
    </w:p>
    <w:p w:rsidR="00F81B72" w:rsidRDefault="00F81B72" w:rsidP="00F81B72">
      <w:pPr>
        <w:ind w:left="851"/>
        <w:jc w:val="both"/>
        <w:rPr>
          <w:sz w:val="21"/>
          <w:szCs w:val="21"/>
        </w:rPr>
      </w:pPr>
    </w:p>
    <w:p w:rsidR="00F81B72" w:rsidRDefault="00F81B72" w:rsidP="00F81B72">
      <w:pPr>
        <w:ind w:left="851"/>
        <w:jc w:val="both"/>
        <w:rPr>
          <w:sz w:val="21"/>
          <w:szCs w:val="21"/>
        </w:rPr>
      </w:pPr>
    </w:p>
    <w:p w:rsidR="00F81B72" w:rsidRDefault="00F81B72" w:rsidP="00F81B72">
      <w:pPr>
        <w:ind w:left="851"/>
        <w:jc w:val="both"/>
        <w:rPr>
          <w:sz w:val="21"/>
          <w:szCs w:val="21"/>
        </w:rPr>
      </w:pPr>
    </w:p>
    <w:p w:rsidR="00973CB7" w:rsidRDefault="00B879A4" w:rsidP="00973CB7">
      <w:pPr>
        <w:keepNext/>
        <w:numPr>
          <w:ilvl w:val="0"/>
          <w:numId w:val="1"/>
        </w:numPr>
        <w:spacing w:before="120" w:after="120"/>
        <w:ind w:left="357" w:hanging="357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РЕКВИЗИТЫ И ПОДПИСИ СТОРОН</w:t>
      </w:r>
    </w:p>
    <w:p w:rsidR="00973CB7" w:rsidRPr="00973CB7" w:rsidRDefault="00973CB7" w:rsidP="00973CB7">
      <w:pPr>
        <w:keepNext/>
        <w:spacing w:before="120" w:after="120"/>
        <w:ind w:left="357"/>
        <w:rPr>
          <w:b/>
          <w:sz w:val="21"/>
          <w:szCs w:val="21"/>
        </w:rPr>
      </w:pPr>
    </w:p>
    <w:tbl>
      <w:tblPr>
        <w:tblW w:w="10347" w:type="dxa"/>
        <w:tblInd w:w="4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103"/>
        <w:gridCol w:w="283"/>
        <w:gridCol w:w="4961"/>
      </w:tblGrid>
      <w:tr w:rsidR="00655127" w:rsidRPr="006C7AD1" w:rsidTr="00973CB7">
        <w:tc>
          <w:tcPr>
            <w:tcW w:w="5103" w:type="dxa"/>
          </w:tcPr>
          <w:p w:rsidR="00655127" w:rsidRDefault="00E823FA">
            <w:pPr>
              <w:pStyle w:val="af2"/>
              <w:widowControl w:val="0"/>
              <w:ind w:left="567"/>
              <w:jc w:val="center"/>
              <w:outlineLvl w:val="0"/>
              <w:rPr>
                <w:rStyle w:val="11"/>
                <w:b/>
                <w:color w:val="000000"/>
                <w:sz w:val="19"/>
                <w:szCs w:val="19"/>
              </w:rPr>
            </w:pPr>
            <w:r>
              <w:rPr>
                <w:rStyle w:val="11"/>
                <w:b/>
                <w:color w:val="000000"/>
                <w:sz w:val="19"/>
                <w:szCs w:val="19"/>
              </w:rPr>
              <w:t>ЛИЦЕНЗИАТ</w:t>
            </w:r>
            <w:r w:rsidR="00B879A4">
              <w:rPr>
                <w:rStyle w:val="11"/>
                <w:b/>
                <w:color w:val="000000"/>
                <w:sz w:val="19"/>
                <w:szCs w:val="19"/>
              </w:rPr>
              <w:t>:</w:t>
            </w:r>
          </w:p>
          <w:p w:rsidR="00655127" w:rsidRDefault="00655127" w:rsidP="00973CB7">
            <w:pPr>
              <w:pStyle w:val="a4"/>
              <w:shd w:val="clear" w:color="auto" w:fill="auto"/>
              <w:spacing w:before="0" w:after="0"/>
              <w:jc w:val="left"/>
              <w:rPr>
                <w:rStyle w:val="11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655127" w:rsidRDefault="00655127">
            <w:pPr>
              <w:widowControl w:val="0"/>
              <w:jc w:val="both"/>
              <w:outlineLvl w:val="0"/>
              <w:rPr>
                <w:rStyle w:val="11"/>
                <w:color w:val="000000"/>
                <w:sz w:val="19"/>
                <w:szCs w:val="19"/>
              </w:rPr>
            </w:pPr>
          </w:p>
        </w:tc>
        <w:tc>
          <w:tcPr>
            <w:tcW w:w="4961" w:type="dxa"/>
          </w:tcPr>
          <w:p w:rsidR="00655127" w:rsidRDefault="00E823FA">
            <w:pPr>
              <w:pStyle w:val="af2"/>
              <w:widowControl w:val="0"/>
              <w:ind w:left="567"/>
              <w:jc w:val="center"/>
              <w:outlineLvl w:val="0"/>
              <w:rPr>
                <w:rStyle w:val="11"/>
                <w:b/>
                <w:color w:val="000000"/>
                <w:sz w:val="19"/>
                <w:szCs w:val="19"/>
              </w:rPr>
            </w:pPr>
            <w:r>
              <w:rPr>
                <w:rStyle w:val="11"/>
                <w:b/>
                <w:color w:val="000000"/>
                <w:sz w:val="19"/>
                <w:szCs w:val="19"/>
              </w:rPr>
              <w:t>СУБЛИЦЕНЗИАТ</w:t>
            </w:r>
            <w:r w:rsidR="00B879A4">
              <w:rPr>
                <w:rStyle w:val="11"/>
                <w:b/>
                <w:color w:val="000000"/>
                <w:sz w:val="19"/>
                <w:szCs w:val="19"/>
              </w:rPr>
              <w:t>:</w:t>
            </w:r>
          </w:p>
          <w:p w:rsidR="00973CB7" w:rsidRDefault="00973CB7">
            <w:pPr>
              <w:pStyle w:val="af2"/>
              <w:widowControl w:val="0"/>
              <w:ind w:left="567"/>
              <w:jc w:val="center"/>
              <w:outlineLvl w:val="0"/>
              <w:rPr>
                <w:rStyle w:val="11"/>
                <w:b/>
                <w:color w:val="000000"/>
                <w:sz w:val="19"/>
                <w:szCs w:val="19"/>
              </w:rPr>
            </w:pPr>
          </w:p>
          <w:bookmarkStart w:id="1" w:name="Контрагент1"/>
          <w:p w:rsidR="00973CB7" w:rsidRPr="0018003E" w:rsidRDefault="00973CB7" w:rsidP="00973CB7">
            <w:pPr>
              <w:pStyle w:val="2"/>
              <w:numPr>
                <w:ilvl w:val="0"/>
                <w:numId w:val="0"/>
              </w:numPr>
              <w:ind w:left="357"/>
              <w:jc w:val="left"/>
              <w:rPr>
                <w:b/>
                <w:sz w:val="20"/>
                <w:szCs w:val="20"/>
              </w:rPr>
            </w:pPr>
            <w:r w:rsidRPr="0018003E">
              <w:rPr>
                <w:b/>
                <w:sz w:val="20"/>
                <w:szCs w:val="20"/>
              </w:rPr>
              <w:fldChar w:fldCharType="begin">
                <w:ffData>
                  <w:name w:val="Контрагент1"/>
                  <w:enabled/>
                  <w:calcOnExit w:val="0"/>
                  <w:textInput>
                    <w:default w:val="Наименование контрагента"/>
                  </w:textInput>
                </w:ffData>
              </w:fldChar>
            </w:r>
            <w:r w:rsidRPr="0018003E">
              <w:rPr>
                <w:sz w:val="20"/>
                <w:szCs w:val="20"/>
              </w:rPr>
              <w:instrText xml:space="preserve"> FORMTEXT </w:instrText>
            </w:r>
            <w:r w:rsidRPr="0018003E">
              <w:rPr>
                <w:b/>
                <w:sz w:val="20"/>
                <w:szCs w:val="20"/>
              </w:rPr>
            </w:r>
            <w:r w:rsidRPr="0018003E">
              <w:rPr>
                <w:b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ОБЩЕСТВО С ОГРАНИЧЕННОЙ ОТВЕТСТВЕННОСТЬЮ "НОВАТЭК-КОСТРОМА"</w:t>
            </w:r>
            <w:r w:rsidRPr="0018003E">
              <w:rPr>
                <w:b/>
                <w:sz w:val="20"/>
                <w:szCs w:val="20"/>
              </w:rPr>
              <w:fldChar w:fldCharType="end"/>
            </w:r>
            <w:bookmarkEnd w:id="1"/>
          </w:p>
          <w:p w:rsidR="00973CB7" w:rsidRPr="0018003E" w:rsidRDefault="00973CB7" w:rsidP="00973CB7">
            <w:pPr>
              <w:pStyle w:val="2"/>
              <w:numPr>
                <w:ilvl w:val="0"/>
                <w:numId w:val="0"/>
              </w:numPr>
              <w:ind w:left="357"/>
              <w:jc w:val="left"/>
              <w:rPr>
                <w:b/>
                <w:sz w:val="20"/>
                <w:szCs w:val="20"/>
              </w:rPr>
            </w:pPr>
            <w:r w:rsidRPr="0018003E">
              <w:rPr>
                <w:sz w:val="20"/>
                <w:szCs w:val="20"/>
              </w:rPr>
              <w:t xml:space="preserve">Адрес: </w:t>
            </w:r>
            <w:bookmarkStart w:id="2" w:name="КонтрагентЮрАдрес"/>
            <w:r w:rsidRPr="0018003E">
              <w:rPr>
                <w:b/>
                <w:sz w:val="20"/>
                <w:szCs w:val="20"/>
              </w:rPr>
              <w:fldChar w:fldCharType="begin">
                <w:ffData>
                  <w:name w:val="КонтрагентЮрАдрес"/>
                  <w:enabled/>
                  <w:calcOnExit w:val="0"/>
                  <w:textInput>
                    <w:default w:val="Юридический адрес контрагента"/>
                  </w:textInput>
                </w:ffData>
              </w:fldChar>
            </w:r>
            <w:r w:rsidRPr="0018003E">
              <w:rPr>
                <w:sz w:val="20"/>
                <w:szCs w:val="20"/>
              </w:rPr>
              <w:instrText xml:space="preserve"> FORMTEXT </w:instrText>
            </w:r>
            <w:r w:rsidRPr="0018003E">
              <w:rPr>
                <w:b/>
                <w:sz w:val="20"/>
                <w:szCs w:val="20"/>
              </w:rPr>
            </w:r>
            <w:r w:rsidRPr="0018003E">
              <w:rPr>
                <w:b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156005, Костромская обл, Кострома г, Лесная ул, дом № 37</w:t>
            </w:r>
            <w:r w:rsidRPr="0018003E">
              <w:rPr>
                <w:b/>
                <w:sz w:val="20"/>
                <w:szCs w:val="20"/>
              </w:rPr>
              <w:fldChar w:fldCharType="end"/>
            </w:r>
            <w:bookmarkEnd w:id="2"/>
          </w:p>
          <w:p w:rsidR="00973CB7" w:rsidRPr="0018003E" w:rsidRDefault="00973CB7" w:rsidP="00973CB7">
            <w:pPr>
              <w:pStyle w:val="2"/>
              <w:numPr>
                <w:ilvl w:val="0"/>
                <w:numId w:val="0"/>
              </w:numPr>
              <w:ind w:left="357"/>
              <w:jc w:val="left"/>
              <w:rPr>
                <w:b/>
                <w:sz w:val="20"/>
                <w:szCs w:val="20"/>
              </w:rPr>
            </w:pPr>
            <w:r w:rsidRPr="0018003E">
              <w:rPr>
                <w:sz w:val="20"/>
                <w:szCs w:val="20"/>
              </w:rPr>
              <w:t xml:space="preserve">Почтовый адрес: </w:t>
            </w:r>
            <w:bookmarkStart w:id="3" w:name="КонтрагентФактАдрес"/>
            <w:r w:rsidRPr="0018003E">
              <w:rPr>
                <w:b/>
                <w:sz w:val="20"/>
                <w:szCs w:val="20"/>
              </w:rPr>
              <w:fldChar w:fldCharType="begin">
                <w:ffData>
                  <w:name w:val="КонтрагентФактАдрес"/>
                  <w:enabled/>
                  <w:calcOnExit w:val="0"/>
                  <w:textInput>
                    <w:default w:val="Почтовый адрес контрагента"/>
                  </w:textInput>
                </w:ffData>
              </w:fldChar>
            </w:r>
            <w:r w:rsidRPr="0018003E">
              <w:rPr>
                <w:sz w:val="20"/>
                <w:szCs w:val="20"/>
              </w:rPr>
              <w:instrText xml:space="preserve"> FORMTEXT </w:instrText>
            </w:r>
            <w:r w:rsidRPr="0018003E">
              <w:rPr>
                <w:b/>
                <w:sz w:val="20"/>
                <w:szCs w:val="20"/>
              </w:rPr>
            </w:r>
            <w:r w:rsidRPr="0018003E">
              <w:rPr>
                <w:b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156005, Костромская обл, Кострома г, Лесная ул, дом № 37</w:t>
            </w:r>
            <w:r w:rsidRPr="0018003E">
              <w:rPr>
                <w:b/>
                <w:sz w:val="20"/>
                <w:szCs w:val="20"/>
              </w:rPr>
              <w:fldChar w:fldCharType="end"/>
            </w:r>
            <w:bookmarkEnd w:id="3"/>
          </w:p>
          <w:p w:rsidR="00973CB7" w:rsidRPr="0018003E" w:rsidRDefault="00973CB7" w:rsidP="00973CB7">
            <w:pPr>
              <w:pStyle w:val="2"/>
              <w:numPr>
                <w:ilvl w:val="0"/>
                <w:numId w:val="0"/>
              </w:numPr>
              <w:ind w:left="357"/>
              <w:jc w:val="left"/>
              <w:rPr>
                <w:b/>
                <w:sz w:val="20"/>
                <w:szCs w:val="20"/>
              </w:rPr>
            </w:pPr>
            <w:r w:rsidRPr="0018003E">
              <w:rPr>
                <w:sz w:val="20"/>
                <w:szCs w:val="20"/>
              </w:rPr>
              <w:t xml:space="preserve">Телефон: </w:t>
            </w:r>
            <w:bookmarkStart w:id="4" w:name="КонтрагентТелефон"/>
            <w:r w:rsidRPr="0018003E">
              <w:rPr>
                <w:b/>
                <w:sz w:val="20"/>
                <w:szCs w:val="20"/>
              </w:rPr>
              <w:fldChar w:fldCharType="begin">
                <w:ffData>
                  <w:name w:val="КонтрагентТелефон"/>
                  <w:enabled/>
                  <w:calcOnExit w:val="0"/>
                  <w:textInput>
                    <w:default w:val="Основной телефон контрагента"/>
                  </w:textInput>
                </w:ffData>
              </w:fldChar>
            </w:r>
            <w:r w:rsidRPr="0018003E">
              <w:rPr>
                <w:sz w:val="20"/>
                <w:szCs w:val="20"/>
              </w:rPr>
              <w:instrText xml:space="preserve"> FORMTEXT </w:instrText>
            </w:r>
            <w:r w:rsidRPr="0018003E">
              <w:rPr>
                <w:b/>
                <w:sz w:val="20"/>
                <w:szCs w:val="20"/>
              </w:rPr>
            </w:r>
            <w:r w:rsidRPr="0018003E">
              <w:rPr>
                <w:b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+7-494-239-5226</w:t>
            </w:r>
            <w:r w:rsidRPr="0018003E">
              <w:rPr>
                <w:b/>
                <w:sz w:val="20"/>
                <w:szCs w:val="20"/>
              </w:rPr>
              <w:fldChar w:fldCharType="end"/>
            </w:r>
            <w:bookmarkEnd w:id="4"/>
          </w:p>
          <w:p w:rsidR="00973CB7" w:rsidRPr="0018003E" w:rsidRDefault="00973CB7" w:rsidP="00973CB7">
            <w:pPr>
              <w:pStyle w:val="2"/>
              <w:numPr>
                <w:ilvl w:val="0"/>
                <w:numId w:val="0"/>
              </w:numPr>
              <w:ind w:left="357"/>
              <w:jc w:val="left"/>
              <w:rPr>
                <w:b/>
                <w:sz w:val="20"/>
                <w:szCs w:val="20"/>
              </w:rPr>
            </w:pPr>
            <w:r w:rsidRPr="0018003E">
              <w:rPr>
                <w:sz w:val="20"/>
                <w:szCs w:val="20"/>
              </w:rPr>
              <w:t xml:space="preserve">Р/с: </w:t>
            </w:r>
            <w:bookmarkStart w:id="5" w:name="КонтрагентРС"/>
            <w:r w:rsidRPr="0018003E">
              <w:rPr>
                <w:b/>
                <w:sz w:val="20"/>
                <w:szCs w:val="20"/>
              </w:rPr>
              <w:fldChar w:fldCharType="begin">
                <w:ffData>
                  <w:name w:val="КонтрагентРС"/>
                  <w:enabled/>
                  <w:calcOnExit w:val="0"/>
                  <w:textInput>
                    <w:default w:val="Р/С контрагента"/>
                  </w:textInput>
                </w:ffData>
              </w:fldChar>
            </w:r>
            <w:r w:rsidRPr="0018003E">
              <w:rPr>
                <w:sz w:val="20"/>
                <w:szCs w:val="20"/>
              </w:rPr>
              <w:instrText xml:space="preserve"> FORMTEXT </w:instrText>
            </w:r>
            <w:r w:rsidRPr="0018003E">
              <w:rPr>
                <w:b/>
                <w:sz w:val="20"/>
                <w:szCs w:val="20"/>
              </w:rPr>
            </w:r>
            <w:r w:rsidRPr="0018003E">
              <w:rPr>
                <w:b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40702810229000002761</w:t>
            </w:r>
            <w:r w:rsidRPr="0018003E">
              <w:rPr>
                <w:b/>
                <w:sz w:val="20"/>
                <w:szCs w:val="20"/>
              </w:rPr>
              <w:fldChar w:fldCharType="end"/>
            </w:r>
            <w:bookmarkEnd w:id="5"/>
          </w:p>
          <w:p w:rsidR="00973CB7" w:rsidRPr="0018003E" w:rsidRDefault="00973CB7" w:rsidP="00973CB7">
            <w:pPr>
              <w:pStyle w:val="2"/>
              <w:numPr>
                <w:ilvl w:val="0"/>
                <w:numId w:val="0"/>
              </w:numPr>
              <w:ind w:left="357"/>
              <w:jc w:val="left"/>
              <w:rPr>
                <w:b/>
                <w:sz w:val="20"/>
                <w:szCs w:val="20"/>
              </w:rPr>
            </w:pPr>
            <w:r w:rsidRPr="0018003E">
              <w:rPr>
                <w:sz w:val="20"/>
                <w:szCs w:val="20"/>
              </w:rPr>
              <w:t xml:space="preserve">Банк: </w:t>
            </w:r>
            <w:bookmarkStart w:id="6" w:name="КонтрагентБанк"/>
            <w:r w:rsidRPr="0018003E">
              <w:rPr>
                <w:b/>
                <w:sz w:val="20"/>
                <w:szCs w:val="20"/>
              </w:rPr>
              <w:fldChar w:fldCharType="begin">
                <w:ffData>
                  <w:name w:val="КонтрагентБанк"/>
                  <w:enabled/>
                  <w:calcOnExit w:val="0"/>
                  <w:textInput>
                    <w:default w:val="Банк контрагента"/>
                  </w:textInput>
                </w:ffData>
              </w:fldChar>
            </w:r>
            <w:r w:rsidRPr="0018003E">
              <w:rPr>
                <w:sz w:val="20"/>
                <w:szCs w:val="20"/>
              </w:rPr>
              <w:instrText xml:space="preserve"> FORMTEXT </w:instrText>
            </w:r>
            <w:r w:rsidRPr="0018003E">
              <w:rPr>
                <w:b/>
                <w:sz w:val="20"/>
                <w:szCs w:val="20"/>
              </w:rPr>
            </w:r>
            <w:r w:rsidRPr="0018003E">
              <w:rPr>
                <w:b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Костромское Отделение № 8640 ПАО Сбербанк</w:t>
            </w:r>
            <w:r w:rsidRPr="0018003E">
              <w:rPr>
                <w:b/>
                <w:sz w:val="20"/>
                <w:szCs w:val="20"/>
              </w:rPr>
              <w:fldChar w:fldCharType="end"/>
            </w:r>
            <w:bookmarkEnd w:id="6"/>
            <w:r w:rsidRPr="0018003E">
              <w:rPr>
                <w:sz w:val="20"/>
                <w:szCs w:val="20"/>
              </w:rPr>
              <w:t xml:space="preserve"> </w:t>
            </w:r>
            <w:bookmarkStart w:id="7" w:name="КонтрагентБанкГород"/>
            <w:r w:rsidRPr="0018003E">
              <w:rPr>
                <w:b/>
                <w:sz w:val="20"/>
                <w:szCs w:val="20"/>
              </w:rPr>
              <w:fldChar w:fldCharType="begin">
                <w:ffData>
                  <w:name w:val="КонтрагентБанкГород"/>
                  <w:enabled/>
                  <w:calcOnExit w:val="0"/>
                  <w:textInput>
                    <w:default w:val="Город банка контрагента"/>
                  </w:textInput>
                </w:ffData>
              </w:fldChar>
            </w:r>
            <w:r w:rsidRPr="0018003E">
              <w:rPr>
                <w:sz w:val="20"/>
                <w:szCs w:val="20"/>
              </w:rPr>
              <w:instrText xml:space="preserve"> FORMTEXT </w:instrText>
            </w:r>
            <w:r w:rsidRPr="0018003E">
              <w:rPr>
                <w:b/>
                <w:sz w:val="20"/>
                <w:szCs w:val="20"/>
              </w:rPr>
            </w:r>
            <w:r w:rsidRPr="0018003E">
              <w:rPr>
                <w:b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г. Кострома</w:t>
            </w:r>
            <w:r w:rsidRPr="0018003E">
              <w:rPr>
                <w:b/>
                <w:sz w:val="20"/>
                <w:szCs w:val="20"/>
              </w:rPr>
              <w:fldChar w:fldCharType="end"/>
            </w:r>
            <w:bookmarkEnd w:id="7"/>
          </w:p>
          <w:p w:rsidR="00973CB7" w:rsidRPr="0018003E" w:rsidRDefault="00973CB7" w:rsidP="00973CB7">
            <w:pPr>
              <w:pStyle w:val="2"/>
              <w:numPr>
                <w:ilvl w:val="0"/>
                <w:numId w:val="0"/>
              </w:numPr>
              <w:ind w:left="357"/>
              <w:jc w:val="left"/>
              <w:rPr>
                <w:b/>
                <w:sz w:val="20"/>
                <w:szCs w:val="20"/>
              </w:rPr>
            </w:pPr>
            <w:r w:rsidRPr="0018003E">
              <w:rPr>
                <w:sz w:val="20"/>
                <w:szCs w:val="20"/>
              </w:rPr>
              <w:t xml:space="preserve">К/с: </w:t>
            </w:r>
            <w:bookmarkStart w:id="8" w:name="КонтрагентКС"/>
            <w:r w:rsidRPr="0018003E">
              <w:rPr>
                <w:b/>
                <w:sz w:val="20"/>
                <w:szCs w:val="20"/>
              </w:rPr>
              <w:fldChar w:fldCharType="begin">
                <w:ffData>
                  <w:name w:val="КонтрагентКС"/>
                  <w:enabled/>
                  <w:calcOnExit w:val="0"/>
                  <w:textInput>
                    <w:default w:val="К/С контрагента"/>
                  </w:textInput>
                </w:ffData>
              </w:fldChar>
            </w:r>
            <w:r w:rsidRPr="0018003E">
              <w:rPr>
                <w:sz w:val="20"/>
                <w:szCs w:val="20"/>
              </w:rPr>
              <w:instrText xml:space="preserve"> FORMTEXT </w:instrText>
            </w:r>
            <w:r w:rsidRPr="0018003E">
              <w:rPr>
                <w:b/>
                <w:sz w:val="20"/>
                <w:szCs w:val="20"/>
              </w:rPr>
            </w:r>
            <w:r w:rsidRPr="0018003E">
              <w:rPr>
                <w:b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30101810200000000623</w:t>
            </w:r>
            <w:r w:rsidRPr="0018003E">
              <w:rPr>
                <w:b/>
                <w:sz w:val="20"/>
                <w:szCs w:val="20"/>
              </w:rPr>
              <w:fldChar w:fldCharType="end"/>
            </w:r>
            <w:bookmarkEnd w:id="8"/>
          </w:p>
          <w:p w:rsidR="00973CB7" w:rsidRPr="0018003E" w:rsidRDefault="00973CB7" w:rsidP="00973CB7">
            <w:pPr>
              <w:pStyle w:val="2"/>
              <w:numPr>
                <w:ilvl w:val="0"/>
                <w:numId w:val="0"/>
              </w:numPr>
              <w:ind w:left="357"/>
              <w:jc w:val="left"/>
              <w:rPr>
                <w:b/>
                <w:sz w:val="20"/>
                <w:szCs w:val="20"/>
              </w:rPr>
            </w:pPr>
            <w:r w:rsidRPr="0018003E">
              <w:rPr>
                <w:sz w:val="20"/>
                <w:szCs w:val="20"/>
              </w:rPr>
              <w:t xml:space="preserve">БИК: </w:t>
            </w:r>
            <w:bookmarkStart w:id="9" w:name="КонтрагентБИК"/>
            <w:r w:rsidRPr="0018003E">
              <w:rPr>
                <w:b/>
                <w:sz w:val="20"/>
                <w:szCs w:val="20"/>
              </w:rPr>
              <w:fldChar w:fldCharType="begin">
                <w:ffData>
                  <w:name w:val="КонтрагентБИК"/>
                  <w:enabled/>
                  <w:calcOnExit w:val="0"/>
                  <w:textInput>
                    <w:default w:val="БИК контрагента"/>
                  </w:textInput>
                </w:ffData>
              </w:fldChar>
            </w:r>
            <w:r w:rsidRPr="0018003E">
              <w:rPr>
                <w:sz w:val="20"/>
                <w:szCs w:val="20"/>
              </w:rPr>
              <w:instrText xml:space="preserve"> FORMTEXT </w:instrText>
            </w:r>
            <w:r w:rsidRPr="0018003E">
              <w:rPr>
                <w:b/>
                <w:sz w:val="20"/>
                <w:szCs w:val="20"/>
              </w:rPr>
            </w:r>
            <w:r w:rsidRPr="0018003E">
              <w:rPr>
                <w:b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043469623</w:t>
            </w:r>
            <w:r w:rsidRPr="0018003E">
              <w:rPr>
                <w:b/>
                <w:sz w:val="20"/>
                <w:szCs w:val="20"/>
              </w:rPr>
              <w:fldChar w:fldCharType="end"/>
            </w:r>
            <w:bookmarkEnd w:id="9"/>
          </w:p>
          <w:p w:rsidR="00973CB7" w:rsidRPr="0018003E" w:rsidRDefault="00973CB7" w:rsidP="00973CB7">
            <w:pPr>
              <w:pStyle w:val="2"/>
              <w:numPr>
                <w:ilvl w:val="0"/>
                <w:numId w:val="0"/>
              </w:numPr>
              <w:ind w:left="357"/>
              <w:jc w:val="left"/>
              <w:rPr>
                <w:b/>
                <w:sz w:val="20"/>
                <w:szCs w:val="20"/>
              </w:rPr>
            </w:pPr>
            <w:r w:rsidRPr="0018003E">
              <w:rPr>
                <w:sz w:val="20"/>
                <w:szCs w:val="20"/>
              </w:rPr>
              <w:t xml:space="preserve">ИНН: </w:t>
            </w:r>
            <w:bookmarkStart w:id="10" w:name="КонтрагентИНН"/>
            <w:r w:rsidRPr="0018003E">
              <w:rPr>
                <w:b/>
                <w:sz w:val="20"/>
                <w:szCs w:val="20"/>
              </w:rPr>
              <w:fldChar w:fldCharType="begin">
                <w:ffData>
                  <w:name w:val="КонтрагентИНН"/>
                  <w:enabled/>
                  <w:calcOnExit w:val="0"/>
                  <w:textInput>
                    <w:default w:val="ИНН контрагента"/>
                  </w:textInput>
                </w:ffData>
              </w:fldChar>
            </w:r>
            <w:r w:rsidRPr="0018003E">
              <w:rPr>
                <w:sz w:val="20"/>
                <w:szCs w:val="20"/>
              </w:rPr>
              <w:instrText xml:space="preserve"> FORMTEXT </w:instrText>
            </w:r>
            <w:r w:rsidRPr="0018003E">
              <w:rPr>
                <w:b/>
                <w:sz w:val="20"/>
                <w:szCs w:val="20"/>
              </w:rPr>
            </w:r>
            <w:r w:rsidRPr="0018003E">
              <w:rPr>
                <w:b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4401017834</w:t>
            </w:r>
            <w:r w:rsidRPr="0018003E">
              <w:rPr>
                <w:b/>
                <w:sz w:val="20"/>
                <w:szCs w:val="20"/>
              </w:rPr>
              <w:fldChar w:fldCharType="end"/>
            </w:r>
            <w:bookmarkEnd w:id="10"/>
          </w:p>
          <w:p w:rsidR="00973CB7" w:rsidRPr="0018003E" w:rsidRDefault="00973CB7" w:rsidP="00973CB7">
            <w:pPr>
              <w:pStyle w:val="2"/>
              <w:numPr>
                <w:ilvl w:val="0"/>
                <w:numId w:val="0"/>
              </w:numPr>
              <w:ind w:left="357"/>
              <w:jc w:val="left"/>
              <w:rPr>
                <w:b/>
                <w:sz w:val="20"/>
                <w:szCs w:val="20"/>
              </w:rPr>
            </w:pPr>
            <w:r w:rsidRPr="0018003E">
              <w:rPr>
                <w:sz w:val="20"/>
                <w:szCs w:val="20"/>
              </w:rPr>
              <w:t xml:space="preserve">КПП: </w:t>
            </w:r>
            <w:bookmarkStart w:id="11" w:name="КонтрагентКПП"/>
            <w:r w:rsidRPr="0018003E">
              <w:rPr>
                <w:b/>
                <w:sz w:val="20"/>
                <w:szCs w:val="20"/>
              </w:rPr>
              <w:fldChar w:fldCharType="begin">
                <w:ffData>
                  <w:name w:val="КонтрагентКПП"/>
                  <w:enabled/>
                  <w:calcOnExit w:val="0"/>
                  <w:textInput>
                    <w:default w:val="КПП контрагента"/>
                  </w:textInput>
                </w:ffData>
              </w:fldChar>
            </w:r>
            <w:r w:rsidRPr="0018003E">
              <w:rPr>
                <w:sz w:val="20"/>
                <w:szCs w:val="20"/>
              </w:rPr>
              <w:instrText xml:space="preserve"> FORMTEXT </w:instrText>
            </w:r>
            <w:r w:rsidRPr="0018003E">
              <w:rPr>
                <w:b/>
                <w:sz w:val="20"/>
                <w:szCs w:val="20"/>
              </w:rPr>
            </w:r>
            <w:r w:rsidRPr="0018003E">
              <w:rPr>
                <w:b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440101001</w:t>
            </w:r>
            <w:r w:rsidRPr="0018003E">
              <w:rPr>
                <w:b/>
                <w:sz w:val="20"/>
                <w:szCs w:val="20"/>
              </w:rPr>
              <w:fldChar w:fldCharType="end"/>
            </w:r>
            <w:bookmarkEnd w:id="11"/>
          </w:p>
          <w:p w:rsidR="00973CB7" w:rsidRDefault="00973CB7" w:rsidP="00973CB7">
            <w:pPr>
              <w:pStyle w:val="2"/>
              <w:numPr>
                <w:ilvl w:val="0"/>
                <w:numId w:val="0"/>
              </w:numPr>
              <w:ind w:left="357"/>
              <w:jc w:val="left"/>
              <w:rPr>
                <w:b/>
                <w:sz w:val="20"/>
                <w:szCs w:val="20"/>
              </w:rPr>
            </w:pPr>
            <w:r w:rsidRPr="0018003E">
              <w:rPr>
                <w:sz w:val="20"/>
                <w:szCs w:val="20"/>
              </w:rPr>
              <w:t xml:space="preserve">ОКПО: </w:t>
            </w:r>
            <w:bookmarkStart w:id="12" w:name="КонтрагентОКПО"/>
            <w:r w:rsidRPr="0018003E">
              <w:rPr>
                <w:b/>
                <w:sz w:val="20"/>
                <w:szCs w:val="20"/>
              </w:rPr>
              <w:fldChar w:fldCharType="begin">
                <w:ffData>
                  <w:name w:val="КонтрагентОКПО"/>
                  <w:enabled/>
                  <w:calcOnExit w:val="0"/>
                  <w:textInput>
                    <w:default w:val="ОКПО контрагента"/>
                  </w:textInput>
                </w:ffData>
              </w:fldChar>
            </w:r>
            <w:r w:rsidRPr="0018003E">
              <w:rPr>
                <w:sz w:val="20"/>
                <w:szCs w:val="20"/>
              </w:rPr>
              <w:instrText xml:space="preserve"> FORMTEXT </w:instrText>
            </w:r>
            <w:r w:rsidRPr="0018003E">
              <w:rPr>
                <w:b/>
                <w:sz w:val="20"/>
                <w:szCs w:val="20"/>
              </w:rPr>
            </w:r>
            <w:r w:rsidRPr="0018003E">
              <w:rPr>
                <w:b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50101120</w:t>
            </w:r>
            <w:r w:rsidRPr="0018003E">
              <w:rPr>
                <w:b/>
                <w:sz w:val="20"/>
                <w:szCs w:val="20"/>
              </w:rPr>
              <w:fldChar w:fldCharType="end"/>
            </w:r>
            <w:bookmarkEnd w:id="12"/>
          </w:p>
          <w:p w:rsidR="00973CB7" w:rsidRPr="00973CB7" w:rsidRDefault="00973CB7" w:rsidP="00973CB7">
            <w:pPr>
              <w:pStyle w:val="2"/>
              <w:numPr>
                <w:ilvl w:val="0"/>
                <w:numId w:val="0"/>
              </w:numPr>
              <w:ind w:left="357"/>
              <w:jc w:val="left"/>
              <w:rPr>
                <w:lang w:val="en-US"/>
              </w:rPr>
            </w:pPr>
            <w:proofErr w:type="gramStart"/>
            <w:r w:rsidRPr="00973CB7">
              <w:rPr>
                <w:sz w:val="20"/>
                <w:szCs w:val="20"/>
                <w:lang w:val="en-US"/>
              </w:rPr>
              <w:t>e-mail</w:t>
            </w:r>
            <w:proofErr w:type="gramEnd"/>
            <w:r w:rsidRPr="00973CB7">
              <w:rPr>
                <w:sz w:val="20"/>
                <w:szCs w:val="20"/>
                <w:lang w:val="en-US"/>
              </w:rPr>
              <w:t>: info@kostroma.novatek.ru</w:t>
            </w:r>
          </w:p>
          <w:p w:rsidR="00973CB7" w:rsidRPr="00973CB7" w:rsidRDefault="00973CB7" w:rsidP="00973CB7">
            <w:pPr>
              <w:rPr>
                <w:lang w:val="en-US"/>
              </w:rPr>
            </w:pPr>
          </w:p>
          <w:p w:rsidR="00655127" w:rsidRDefault="00655127">
            <w:pPr>
              <w:pStyle w:val="a4"/>
              <w:shd w:val="clear" w:color="auto" w:fill="auto"/>
              <w:spacing w:before="0" w:after="0"/>
              <w:jc w:val="left"/>
              <w:rPr>
                <w:rStyle w:val="11"/>
                <w:color w:val="000000"/>
                <w:sz w:val="19"/>
                <w:szCs w:val="19"/>
              </w:rPr>
            </w:pPr>
          </w:p>
        </w:tc>
      </w:tr>
      <w:tr w:rsidR="00655127" w:rsidRPr="006C7AD1" w:rsidTr="00973CB7">
        <w:tc>
          <w:tcPr>
            <w:tcW w:w="5103" w:type="dxa"/>
          </w:tcPr>
          <w:p w:rsidR="00655127" w:rsidRPr="00973CB7" w:rsidRDefault="00655127">
            <w:pPr>
              <w:widowControl w:val="0"/>
              <w:jc w:val="both"/>
              <w:outlineLvl w:val="0"/>
              <w:rPr>
                <w:rStyle w:val="11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283" w:type="dxa"/>
          </w:tcPr>
          <w:p w:rsidR="00655127" w:rsidRPr="00973CB7" w:rsidRDefault="00655127">
            <w:pPr>
              <w:widowControl w:val="0"/>
              <w:jc w:val="both"/>
              <w:outlineLvl w:val="0"/>
              <w:rPr>
                <w:rStyle w:val="11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4961" w:type="dxa"/>
          </w:tcPr>
          <w:p w:rsidR="00655127" w:rsidRPr="00973CB7" w:rsidRDefault="00655127">
            <w:pPr>
              <w:pStyle w:val="Default"/>
              <w:widowControl w:val="0"/>
              <w:rPr>
                <w:sz w:val="19"/>
                <w:szCs w:val="19"/>
                <w:shd w:val="clear" w:color="auto" w:fill="FFFFFF"/>
                <w:lang w:val="en-US"/>
              </w:rPr>
            </w:pPr>
          </w:p>
        </w:tc>
      </w:tr>
      <w:tr w:rsidR="00655127" w:rsidRPr="006C7AD1" w:rsidTr="00973CB7">
        <w:tc>
          <w:tcPr>
            <w:tcW w:w="5103" w:type="dxa"/>
          </w:tcPr>
          <w:p w:rsidR="00655127" w:rsidRDefault="00655127" w:rsidP="00973CB7">
            <w:pPr>
              <w:widowControl w:val="0"/>
              <w:outlineLvl w:val="0"/>
              <w:rPr>
                <w:rStyle w:val="11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283" w:type="dxa"/>
          </w:tcPr>
          <w:p w:rsidR="00655127" w:rsidRDefault="00655127">
            <w:pPr>
              <w:widowControl w:val="0"/>
              <w:jc w:val="both"/>
              <w:outlineLvl w:val="0"/>
              <w:rPr>
                <w:rStyle w:val="11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4961" w:type="dxa"/>
          </w:tcPr>
          <w:p w:rsidR="00655127" w:rsidRDefault="00655127">
            <w:pPr>
              <w:widowControl w:val="0"/>
              <w:jc w:val="center"/>
              <w:outlineLvl w:val="0"/>
              <w:rPr>
                <w:rStyle w:val="11"/>
                <w:color w:val="000000"/>
                <w:sz w:val="19"/>
                <w:szCs w:val="19"/>
                <w:lang w:val="en-US"/>
              </w:rPr>
            </w:pPr>
          </w:p>
        </w:tc>
      </w:tr>
      <w:tr w:rsidR="00655127">
        <w:tc>
          <w:tcPr>
            <w:tcW w:w="5103" w:type="dxa"/>
            <w:tcMar>
              <w:left w:w="108" w:type="dxa"/>
              <w:right w:w="108" w:type="dxa"/>
            </w:tcMar>
          </w:tcPr>
          <w:p w:rsidR="00973CB7" w:rsidRPr="00973CB7" w:rsidRDefault="00973CB7" w:rsidP="00973CB7">
            <w:pPr>
              <w:widowControl w:val="0"/>
              <w:rPr>
                <w:sz w:val="21"/>
                <w:szCs w:val="21"/>
                <w:lang w:val="en-US"/>
              </w:rPr>
            </w:pPr>
            <w:bookmarkStart w:id="13" w:name="_Ref452439416"/>
            <w:bookmarkEnd w:id="13"/>
          </w:p>
          <w:p w:rsidR="00655127" w:rsidRPr="00973CB7" w:rsidRDefault="00655127">
            <w:pPr>
              <w:widowControl w:val="0"/>
              <w:ind w:left="1772" w:hanging="1718"/>
              <w:rPr>
                <w:b/>
                <w:sz w:val="21"/>
                <w:szCs w:val="21"/>
                <w:lang w:val="en-US"/>
              </w:rPr>
            </w:pPr>
          </w:p>
          <w:p w:rsidR="00655127" w:rsidRDefault="00B879A4">
            <w:pPr>
              <w:widowControl w:val="0"/>
              <w:ind w:left="1772" w:hanging="17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</w:t>
            </w:r>
            <w:r w:rsidR="00973CB7">
              <w:rPr>
                <w:sz w:val="21"/>
                <w:szCs w:val="21"/>
              </w:rPr>
              <w:t xml:space="preserve">___________________/____________ </w:t>
            </w:r>
            <w:r>
              <w:rPr>
                <w:sz w:val="21"/>
                <w:szCs w:val="21"/>
              </w:rPr>
              <w:t>/</w:t>
            </w:r>
          </w:p>
          <w:p w:rsidR="00655127" w:rsidRDefault="00655127">
            <w:pPr>
              <w:widowControl w:val="0"/>
              <w:ind w:left="1772" w:hanging="1718"/>
              <w:rPr>
                <w:sz w:val="21"/>
                <w:szCs w:val="21"/>
              </w:rPr>
            </w:pPr>
          </w:p>
        </w:tc>
        <w:tc>
          <w:tcPr>
            <w:tcW w:w="5244" w:type="dxa"/>
            <w:gridSpan w:val="2"/>
            <w:tcMar>
              <w:left w:w="108" w:type="dxa"/>
              <w:right w:w="108" w:type="dxa"/>
            </w:tcMar>
          </w:tcPr>
          <w:p w:rsidR="00655127" w:rsidRDefault="00655127">
            <w:pPr>
              <w:widowControl w:val="0"/>
              <w:ind w:left="1772" w:hanging="1718"/>
              <w:rPr>
                <w:sz w:val="21"/>
                <w:szCs w:val="21"/>
              </w:rPr>
            </w:pPr>
          </w:p>
          <w:p w:rsidR="00655127" w:rsidRDefault="00655127">
            <w:pPr>
              <w:widowControl w:val="0"/>
              <w:ind w:left="1772" w:hanging="1718"/>
              <w:rPr>
                <w:b/>
                <w:sz w:val="21"/>
                <w:szCs w:val="21"/>
              </w:rPr>
            </w:pPr>
          </w:p>
          <w:p w:rsidR="00655127" w:rsidRDefault="00B879A4">
            <w:pPr>
              <w:widowControl w:val="0"/>
              <w:ind w:left="1772" w:hanging="17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_____________________________/</w:t>
            </w:r>
            <w:r w:rsidR="00973CB7">
              <w:rPr>
                <w:sz w:val="21"/>
                <w:szCs w:val="21"/>
              </w:rPr>
              <w:t xml:space="preserve"> _______________</w:t>
            </w:r>
            <w:r>
              <w:rPr>
                <w:sz w:val="21"/>
                <w:szCs w:val="21"/>
              </w:rPr>
              <w:t xml:space="preserve"> /</w:t>
            </w:r>
          </w:p>
          <w:p w:rsidR="00655127" w:rsidRDefault="00655127">
            <w:pPr>
              <w:widowControl w:val="0"/>
              <w:ind w:left="1772" w:hanging="1718"/>
              <w:rPr>
                <w:sz w:val="21"/>
                <w:szCs w:val="21"/>
              </w:rPr>
            </w:pPr>
          </w:p>
        </w:tc>
      </w:tr>
      <w:tr w:rsidR="00655127">
        <w:trPr>
          <w:trHeight w:val="142"/>
        </w:trPr>
        <w:tc>
          <w:tcPr>
            <w:tcW w:w="5103" w:type="dxa"/>
            <w:tcMar>
              <w:left w:w="108" w:type="dxa"/>
              <w:right w:w="108" w:type="dxa"/>
            </w:tcMar>
          </w:tcPr>
          <w:p w:rsidR="00655127" w:rsidRDefault="00973CB7" w:rsidP="00973CB7">
            <w:pPr>
              <w:widowControl w:val="0"/>
              <w:ind w:left="177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«__»______</w:t>
            </w:r>
            <w:r w:rsidR="00B879A4">
              <w:rPr>
                <w:sz w:val="21"/>
                <w:szCs w:val="21"/>
              </w:rPr>
              <w:t>г.</w:t>
            </w:r>
          </w:p>
        </w:tc>
        <w:tc>
          <w:tcPr>
            <w:tcW w:w="5244" w:type="dxa"/>
            <w:gridSpan w:val="2"/>
            <w:tcMar>
              <w:left w:w="108" w:type="dxa"/>
              <w:right w:w="108" w:type="dxa"/>
            </w:tcMar>
          </w:tcPr>
          <w:p w:rsidR="00655127" w:rsidRDefault="00973CB7" w:rsidP="00973CB7">
            <w:pPr>
              <w:widowControl w:val="0"/>
              <w:ind w:left="1772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«___</w:t>
            </w:r>
            <w:r w:rsidR="00B879A4">
              <w:rPr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t>_________г</w:t>
            </w:r>
            <w:r w:rsidR="00B879A4">
              <w:rPr>
                <w:sz w:val="21"/>
                <w:szCs w:val="21"/>
              </w:rPr>
              <w:t>.</w:t>
            </w:r>
          </w:p>
        </w:tc>
      </w:tr>
      <w:tr w:rsidR="00655127">
        <w:tc>
          <w:tcPr>
            <w:tcW w:w="5103" w:type="dxa"/>
            <w:tcMar>
              <w:left w:w="108" w:type="dxa"/>
              <w:right w:w="108" w:type="dxa"/>
            </w:tcMar>
          </w:tcPr>
          <w:p w:rsidR="00655127" w:rsidRDefault="00B879A4">
            <w:pPr>
              <w:widowControl w:val="0"/>
              <w:ind w:left="4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М.П.</w:t>
            </w:r>
          </w:p>
        </w:tc>
        <w:tc>
          <w:tcPr>
            <w:tcW w:w="5244" w:type="dxa"/>
            <w:gridSpan w:val="2"/>
            <w:tcMar>
              <w:left w:w="108" w:type="dxa"/>
              <w:right w:w="108" w:type="dxa"/>
            </w:tcMar>
          </w:tcPr>
          <w:p w:rsidR="00655127" w:rsidRDefault="00B879A4">
            <w:pPr>
              <w:widowControl w:val="0"/>
              <w:ind w:left="177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М.П.</w:t>
            </w:r>
          </w:p>
        </w:tc>
      </w:tr>
    </w:tbl>
    <w:p w:rsidR="00973CB7" w:rsidRDefault="00973CB7">
      <w:pPr>
        <w:rPr>
          <w:sz w:val="21"/>
          <w:szCs w:val="21"/>
        </w:rPr>
      </w:pPr>
    </w:p>
    <w:p w:rsidR="00655127" w:rsidRDefault="00655127">
      <w:pPr>
        <w:rPr>
          <w:sz w:val="21"/>
          <w:szCs w:val="21"/>
        </w:rPr>
      </w:pPr>
    </w:p>
    <w:p w:rsidR="0027694C" w:rsidRDefault="0027694C">
      <w:pPr>
        <w:rPr>
          <w:sz w:val="21"/>
          <w:szCs w:val="21"/>
        </w:rPr>
      </w:pPr>
    </w:p>
    <w:p w:rsidR="0027694C" w:rsidRDefault="0027694C">
      <w:pPr>
        <w:rPr>
          <w:sz w:val="21"/>
          <w:szCs w:val="21"/>
        </w:rPr>
      </w:pPr>
    </w:p>
    <w:p w:rsidR="0027694C" w:rsidRDefault="0027694C">
      <w:pPr>
        <w:rPr>
          <w:sz w:val="21"/>
          <w:szCs w:val="21"/>
        </w:rPr>
      </w:pPr>
    </w:p>
    <w:p w:rsidR="0027694C" w:rsidRDefault="0027694C">
      <w:pPr>
        <w:rPr>
          <w:sz w:val="21"/>
          <w:szCs w:val="21"/>
        </w:rPr>
      </w:pPr>
    </w:p>
    <w:p w:rsidR="0027694C" w:rsidRDefault="0027694C">
      <w:pPr>
        <w:rPr>
          <w:sz w:val="21"/>
          <w:szCs w:val="21"/>
        </w:rPr>
      </w:pPr>
    </w:p>
    <w:p w:rsidR="0027694C" w:rsidRDefault="0027694C">
      <w:pPr>
        <w:rPr>
          <w:sz w:val="21"/>
          <w:szCs w:val="21"/>
        </w:rPr>
      </w:pPr>
    </w:p>
    <w:p w:rsidR="0027694C" w:rsidRDefault="0027694C">
      <w:pPr>
        <w:rPr>
          <w:sz w:val="21"/>
          <w:szCs w:val="21"/>
        </w:rPr>
      </w:pPr>
    </w:p>
    <w:p w:rsidR="0027694C" w:rsidRDefault="0027694C">
      <w:pPr>
        <w:rPr>
          <w:sz w:val="21"/>
          <w:szCs w:val="21"/>
        </w:rPr>
      </w:pPr>
    </w:p>
    <w:p w:rsidR="0027694C" w:rsidRDefault="0027694C">
      <w:pPr>
        <w:rPr>
          <w:sz w:val="21"/>
          <w:szCs w:val="21"/>
        </w:rPr>
      </w:pPr>
    </w:p>
    <w:p w:rsidR="0027694C" w:rsidRDefault="0027694C">
      <w:pPr>
        <w:rPr>
          <w:sz w:val="21"/>
          <w:szCs w:val="21"/>
        </w:rPr>
      </w:pPr>
    </w:p>
    <w:p w:rsidR="0027694C" w:rsidRDefault="0027694C">
      <w:pPr>
        <w:rPr>
          <w:sz w:val="21"/>
          <w:szCs w:val="21"/>
        </w:rPr>
      </w:pPr>
    </w:p>
    <w:p w:rsidR="0027694C" w:rsidRDefault="0027694C">
      <w:pPr>
        <w:rPr>
          <w:sz w:val="21"/>
          <w:szCs w:val="21"/>
        </w:rPr>
      </w:pPr>
    </w:p>
    <w:p w:rsidR="0027694C" w:rsidRDefault="0027694C">
      <w:pPr>
        <w:rPr>
          <w:sz w:val="21"/>
          <w:szCs w:val="21"/>
        </w:rPr>
      </w:pPr>
    </w:p>
    <w:p w:rsidR="0027694C" w:rsidRDefault="0027694C">
      <w:pPr>
        <w:rPr>
          <w:sz w:val="21"/>
          <w:szCs w:val="21"/>
        </w:rPr>
      </w:pPr>
    </w:p>
    <w:p w:rsidR="0027694C" w:rsidRDefault="0027694C">
      <w:pPr>
        <w:rPr>
          <w:sz w:val="21"/>
          <w:szCs w:val="21"/>
        </w:rPr>
      </w:pPr>
    </w:p>
    <w:p w:rsidR="0027694C" w:rsidRDefault="0027694C">
      <w:pPr>
        <w:rPr>
          <w:sz w:val="21"/>
          <w:szCs w:val="21"/>
        </w:rPr>
      </w:pPr>
    </w:p>
    <w:p w:rsidR="0027694C" w:rsidRDefault="0027694C">
      <w:pPr>
        <w:rPr>
          <w:sz w:val="21"/>
          <w:szCs w:val="21"/>
        </w:rPr>
      </w:pPr>
    </w:p>
    <w:p w:rsidR="0027694C" w:rsidRDefault="0027694C">
      <w:pPr>
        <w:rPr>
          <w:sz w:val="21"/>
          <w:szCs w:val="21"/>
        </w:rPr>
      </w:pPr>
    </w:p>
    <w:p w:rsidR="0027694C" w:rsidRDefault="0027694C">
      <w:pPr>
        <w:rPr>
          <w:sz w:val="21"/>
          <w:szCs w:val="21"/>
        </w:rPr>
      </w:pPr>
    </w:p>
    <w:p w:rsidR="0027694C" w:rsidRDefault="0027694C">
      <w:pPr>
        <w:rPr>
          <w:sz w:val="21"/>
          <w:szCs w:val="21"/>
        </w:rPr>
      </w:pPr>
    </w:p>
    <w:p w:rsidR="0027694C" w:rsidRDefault="0027694C">
      <w:pPr>
        <w:rPr>
          <w:sz w:val="21"/>
          <w:szCs w:val="21"/>
        </w:rPr>
      </w:pPr>
    </w:p>
    <w:p w:rsidR="0027694C" w:rsidRDefault="0027694C">
      <w:pPr>
        <w:rPr>
          <w:sz w:val="21"/>
          <w:szCs w:val="21"/>
        </w:rPr>
      </w:pPr>
    </w:p>
    <w:p w:rsidR="0027694C" w:rsidRDefault="0027694C">
      <w:pPr>
        <w:rPr>
          <w:sz w:val="21"/>
          <w:szCs w:val="21"/>
        </w:rPr>
      </w:pPr>
    </w:p>
    <w:p w:rsidR="0027694C" w:rsidRDefault="0027694C">
      <w:pPr>
        <w:rPr>
          <w:sz w:val="21"/>
          <w:szCs w:val="21"/>
        </w:rPr>
      </w:pPr>
    </w:p>
    <w:p w:rsidR="0027694C" w:rsidRDefault="0027694C">
      <w:pPr>
        <w:rPr>
          <w:sz w:val="21"/>
          <w:szCs w:val="21"/>
        </w:rPr>
      </w:pPr>
    </w:p>
    <w:p w:rsidR="0027694C" w:rsidRDefault="0027694C">
      <w:pPr>
        <w:rPr>
          <w:sz w:val="21"/>
          <w:szCs w:val="21"/>
        </w:rPr>
      </w:pPr>
    </w:p>
    <w:p w:rsidR="0027694C" w:rsidRDefault="0027694C">
      <w:pPr>
        <w:rPr>
          <w:sz w:val="21"/>
          <w:szCs w:val="21"/>
        </w:rPr>
      </w:pPr>
    </w:p>
    <w:p w:rsidR="0027694C" w:rsidRDefault="0027694C">
      <w:pPr>
        <w:rPr>
          <w:sz w:val="21"/>
          <w:szCs w:val="21"/>
        </w:rPr>
      </w:pPr>
    </w:p>
    <w:p w:rsidR="0027694C" w:rsidRDefault="0027694C">
      <w:pPr>
        <w:rPr>
          <w:sz w:val="21"/>
          <w:szCs w:val="21"/>
        </w:rPr>
      </w:pPr>
    </w:p>
    <w:sectPr w:rsidR="0027694C">
      <w:headerReference w:type="default" r:id="rId9"/>
      <w:pgSz w:w="11906" w:h="16838"/>
      <w:pgMar w:top="766" w:right="424" w:bottom="284" w:left="709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1BE" w:rsidRDefault="000531BE">
      <w:r>
        <w:separator/>
      </w:r>
    </w:p>
  </w:endnote>
  <w:endnote w:type="continuationSeparator" w:id="0">
    <w:p w:rsidR="000531BE" w:rsidRDefault="0005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1BE" w:rsidRDefault="000531BE">
      <w:r>
        <w:separator/>
      </w:r>
    </w:p>
  </w:footnote>
  <w:footnote w:type="continuationSeparator" w:id="0">
    <w:p w:rsidR="000531BE" w:rsidRDefault="00053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127" w:rsidRDefault="00B879A4">
    <w:pPr>
      <w:pStyle w:val="a7"/>
    </w:pPr>
    <w:r>
      <w:t xml:space="preserve">                                                 </w:t>
    </w:r>
    <w:r w:rsidR="0058764E">
      <w:t xml:space="preserve">                       </w:t>
    </w:r>
    <w:proofErr w:type="spellStart"/>
    <w:r w:rsidR="00036980">
      <w:t>Субл</w:t>
    </w:r>
    <w:r>
      <w:t>ицензионный</w:t>
    </w:r>
    <w:proofErr w:type="spellEnd"/>
    <w:r>
      <w:t xml:space="preserve"> договор № </w:t>
    </w:r>
    <w:r w:rsidR="0058764E">
      <w:t>__________от «_</w:t>
    </w:r>
    <w:proofErr w:type="gramStart"/>
    <w:r w:rsidR="0058764E">
      <w:t>_</w:t>
    </w:r>
    <w:r>
      <w:t>»</w:t>
    </w:r>
    <w:r w:rsidR="0058764E">
      <w:t>_</w:t>
    </w:r>
    <w:proofErr w:type="gramEnd"/>
    <w:r w:rsidR="0058764E">
      <w:t>________</w:t>
    </w:r>
    <w:r>
      <w:t>.</w:t>
    </w:r>
  </w:p>
  <w:p w:rsidR="00655127" w:rsidRDefault="0065512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3403A"/>
    <w:multiLevelType w:val="multilevel"/>
    <w:tmpl w:val="6B52C2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F15CC"/>
    <w:multiLevelType w:val="multilevel"/>
    <w:tmpl w:val="ECE6FB2E"/>
    <w:lvl w:ilvl="0">
      <w:start w:val="1"/>
      <w:numFmt w:val="decimal"/>
      <w:pStyle w:val="1"/>
      <w:suff w:val="space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7" w:hanging="35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7" w:hanging="35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" w:hanging="35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7" w:hanging="35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7" w:hanging="35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7" w:hanging="357"/>
      </w:pPr>
    </w:lvl>
  </w:abstractNum>
  <w:abstractNum w:abstractNumId="2" w15:restartNumberingAfterBreak="0">
    <w:nsid w:val="29D03D07"/>
    <w:multiLevelType w:val="multilevel"/>
    <w:tmpl w:val="0D92DE8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567" w:hanging="567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2CA279C1"/>
    <w:multiLevelType w:val="multilevel"/>
    <w:tmpl w:val="5C2C6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2.%2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323F673C"/>
    <w:multiLevelType w:val="multilevel"/>
    <w:tmpl w:val="5C106A08"/>
    <w:lvl w:ilvl="0">
      <w:start w:val="1"/>
      <w:numFmt w:val="decimal"/>
      <w:lvlText w:val="6.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6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2DE3D79"/>
    <w:multiLevelType w:val="multilevel"/>
    <w:tmpl w:val="F9FE0710"/>
    <w:lvl w:ilvl="0">
      <w:start w:val="1"/>
      <w:numFmt w:val="decimal"/>
      <w:lvlText w:val="5.%1"/>
      <w:lvlJc w:val="left"/>
      <w:pPr>
        <w:tabs>
          <w:tab w:val="num" w:pos="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40" w:hanging="180"/>
      </w:pPr>
    </w:lvl>
  </w:abstractNum>
  <w:abstractNum w:abstractNumId="6" w15:restartNumberingAfterBreak="0">
    <w:nsid w:val="38E03A49"/>
    <w:multiLevelType w:val="multilevel"/>
    <w:tmpl w:val="0419001F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4BE257CE"/>
    <w:multiLevelType w:val="multilevel"/>
    <w:tmpl w:val="864A4AE4"/>
    <w:lvl w:ilvl="0">
      <w:start w:val="1"/>
      <w:numFmt w:val="decimal"/>
      <w:lvlText w:val="4.%1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8" w15:restartNumberingAfterBreak="0">
    <w:nsid w:val="50BC08B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597D57E0"/>
    <w:multiLevelType w:val="multilevel"/>
    <w:tmpl w:val="C8644DA2"/>
    <w:lvl w:ilvl="0">
      <w:start w:val="1"/>
      <w:numFmt w:val="decimal"/>
      <w:lvlText w:val="3.%1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 w15:restartNumberingAfterBreak="0">
    <w:nsid w:val="65181DB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127"/>
    <w:rsid w:val="00022FF3"/>
    <w:rsid w:val="00036980"/>
    <w:rsid w:val="000531BE"/>
    <w:rsid w:val="000F3B56"/>
    <w:rsid w:val="0027694C"/>
    <w:rsid w:val="00351D7E"/>
    <w:rsid w:val="003A6BBA"/>
    <w:rsid w:val="004F36B1"/>
    <w:rsid w:val="0056528F"/>
    <w:rsid w:val="0058764E"/>
    <w:rsid w:val="00624D87"/>
    <w:rsid w:val="00655127"/>
    <w:rsid w:val="006834EB"/>
    <w:rsid w:val="006C7AD1"/>
    <w:rsid w:val="00836521"/>
    <w:rsid w:val="008401F1"/>
    <w:rsid w:val="009039F1"/>
    <w:rsid w:val="00973CB7"/>
    <w:rsid w:val="00A529C7"/>
    <w:rsid w:val="00AE40F1"/>
    <w:rsid w:val="00B879A4"/>
    <w:rsid w:val="00BF246B"/>
    <w:rsid w:val="00D13DAC"/>
    <w:rsid w:val="00D70B9F"/>
    <w:rsid w:val="00D753CE"/>
    <w:rsid w:val="00E30713"/>
    <w:rsid w:val="00E56835"/>
    <w:rsid w:val="00E823FA"/>
    <w:rsid w:val="00F07CD3"/>
    <w:rsid w:val="00F54889"/>
    <w:rsid w:val="00F81B72"/>
    <w:rsid w:val="00FE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5D32F7A-6A9D-4788-B94D-777849A8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F55AED"/>
    <w:pPr>
      <w:keepNext/>
      <w:numPr>
        <w:numId w:val="9"/>
      </w:numPr>
      <w:spacing w:before="120"/>
      <w:ind w:left="0" w:firstLine="0"/>
      <w:jc w:val="center"/>
      <w:outlineLvl w:val="0"/>
    </w:pPr>
    <w:rPr>
      <w:b/>
      <w:bCs/>
      <w:kern w:val="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F55AED"/>
    <w:pPr>
      <w:keepNext/>
      <w:numPr>
        <w:ilvl w:val="1"/>
        <w:numId w:val="9"/>
      </w:numPr>
      <w:tabs>
        <w:tab w:val="left" w:pos="851"/>
      </w:tabs>
      <w:jc w:val="both"/>
      <w:outlineLvl w:val="1"/>
    </w:pPr>
    <w:rPr>
      <w:bCs/>
      <w:iCs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73C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5">
    <w:name w:val="heading 5"/>
    <w:basedOn w:val="a0"/>
    <w:next w:val="a0"/>
    <w:link w:val="50"/>
    <w:uiPriority w:val="9"/>
    <w:unhideWhenUsed/>
    <w:qFormat/>
    <w:rsid w:val="00CD42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текст Знак1"/>
    <w:link w:val="a4"/>
    <w:uiPriority w:val="99"/>
    <w:qFormat/>
    <w:rsid w:val="0042239D"/>
    <w:rPr>
      <w:sz w:val="22"/>
      <w:szCs w:val="22"/>
      <w:shd w:val="clear" w:color="auto" w:fill="FFFFFF"/>
    </w:rPr>
  </w:style>
  <w:style w:type="character" w:customStyle="1" w:styleId="a5">
    <w:name w:val="Основной текст Знак"/>
    <w:uiPriority w:val="99"/>
    <w:semiHidden/>
    <w:qFormat/>
    <w:rsid w:val="0042239D"/>
    <w:rPr>
      <w:sz w:val="24"/>
      <w:szCs w:val="24"/>
    </w:rPr>
  </w:style>
  <w:style w:type="character" w:customStyle="1" w:styleId="10">
    <w:name w:val="Заголовок 1 Знак"/>
    <w:link w:val="1"/>
    <w:uiPriority w:val="9"/>
    <w:qFormat/>
    <w:rsid w:val="00F55AED"/>
    <w:rPr>
      <w:b/>
      <w:bCs/>
      <w:kern w:val="2"/>
      <w:sz w:val="24"/>
      <w:szCs w:val="32"/>
    </w:rPr>
  </w:style>
  <w:style w:type="character" w:customStyle="1" w:styleId="20">
    <w:name w:val="Заголовок 2 Знак"/>
    <w:link w:val="2"/>
    <w:uiPriority w:val="9"/>
    <w:qFormat/>
    <w:rsid w:val="00F55AED"/>
    <w:rPr>
      <w:bCs/>
      <w:iCs/>
      <w:sz w:val="24"/>
      <w:szCs w:val="24"/>
    </w:rPr>
  </w:style>
  <w:style w:type="character" w:customStyle="1" w:styleId="a6">
    <w:name w:val="Верхний колонтитул Знак"/>
    <w:link w:val="a7"/>
    <w:uiPriority w:val="99"/>
    <w:qFormat/>
    <w:rsid w:val="007E2ADF"/>
    <w:rPr>
      <w:sz w:val="24"/>
      <w:szCs w:val="24"/>
    </w:rPr>
  </w:style>
  <w:style w:type="character" w:customStyle="1" w:styleId="a8">
    <w:name w:val="Нижний колонтитул Знак"/>
    <w:link w:val="a9"/>
    <w:uiPriority w:val="99"/>
    <w:qFormat/>
    <w:rsid w:val="007E2ADF"/>
    <w:rPr>
      <w:sz w:val="24"/>
      <w:szCs w:val="24"/>
    </w:rPr>
  </w:style>
  <w:style w:type="character" w:customStyle="1" w:styleId="aa">
    <w:name w:val="Текст выноски Знак"/>
    <w:link w:val="ab"/>
    <w:uiPriority w:val="99"/>
    <w:semiHidden/>
    <w:qFormat/>
    <w:rsid w:val="00495F7F"/>
    <w:rPr>
      <w:rFonts w:ascii="Segoe UI" w:hAnsi="Segoe UI" w:cs="Segoe UI"/>
      <w:sz w:val="18"/>
      <w:szCs w:val="18"/>
    </w:rPr>
  </w:style>
  <w:style w:type="character" w:customStyle="1" w:styleId="12">
    <w:name w:val="Гиперссылка1"/>
    <w:rsid w:val="00370DE8"/>
    <w:rPr>
      <w:color w:val="000080"/>
      <w:u w:val="single"/>
    </w:rPr>
  </w:style>
  <w:style w:type="character" w:styleId="ac">
    <w:name w:val="page number"/>
    <w:qFormat/>
    <w:rsid w:val="009C015F"/>
  </w:style>
  <w:style w:type="character" w:customStyle="1" w:styleId="50">
    <w:name w:val="Заголовок 5 Знак"/>
    <w:basedOn w:val="a1"/>
    <w:link w:val="5"/>
    <w:uiPriority w:val="9"/>
    <w:qFormat/>
    <w:rsid w:val="00CD4222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A20">
    <w:name w:val="A2"/>
    <w:uiPriority w:val="99"/>
    <w:qFormat/>
    <w:rsid w:val="003A09A8"/>
    <w:rPr>
      <w:rFonts w:cs="Myriad Pro"/>
      <w:color w:val="000000"/>
      <w:sz w:val="28"/>
      <w:szCs w:val="28"/>
    </w:rPr>
  </w:style>
  <w:style w:type="character" w:customStyle="1" w:styleId="WW-Absatz-Standardschriftart">
    <w:name w:val="WW-Absatz-Standardschriftart"/>
    <w:qFormat/>
    <w:rsid w:val="003D70BB"/>
  </w:style>
  <w:style w:type="paragraph" w:customStyle="1" w:styleId="ad">
    <w:name w:val="Заголовок"/>
    <w:basedOn w:val="a0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0"/>
    <w:link w:val="11"/>
    <w:uiPriority w:val="99"/>
    <w:rsid w:val="0042239D"/>
    <w:pPr>
      <w:widowControl w:val="0"/>
      <w:shd w:val="clear" w:color="auto" w:fill="FFFFFF"/>
      <w:spacing w:before="300" w:after="300" w:line="240" w:lineRule="atLeast"/>
      <w:jc w:val="both"/>
    </w:pPr>
    <w:rPr>
      <w:sz w:val="22"/>
      <w:szCs w:val="22"/>
      <w:lang w:val="x-none" w:eastAsia="x-none"/>
    </w:rPr>
  </w:style>
  <w:style w:type="paragraph" w:styleId="ae">
    <w:name w:val="List"/>
    <w:basedOn w:val="a4"/>
    <w:rPr>
      <w:rFonts w:cs="Mangal"/>
    </w:rPr>
  </w:style>
  <w:style w:type="paragraph" w:styleId="af">
    <w:name w:val="caption"/>
    <w:basedOn w:val="a0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0"/>
    <w:qFormat/>
    <w:pPr>
      <w:suppressLineNumbers/>
    </w:pPr>
    <w:rPr>
      <w:rFonts w:cs="Mangal"/>
    </w:rPr>
  </w:style>
  <w:style w:type="paragraph" w:styleId="a">
    <w:name w:val="List Number"/>
    <w:basedOn w:val="a0"/>
    <w:semiHidden/>
    <w:qFormat/>
    <w:pPr>
      <w:numPr>
        <w:numId w:val="2"/>
      </w:numPr>
    </w:pPr>
    <w:rPr>
      <w:sz w:val="20"/>
      <w:szCs w:val="20"/>
      <w:lang w:val="en-US"/>
    </w:rPr>
  </w:style>
  <w:style w:type="paragraph" w:customStyle="1" w:styleId="af1">
    <w:name w:val="Колонтитул"/>
    <w:basedOn w:val="a0"/>
    <w:qFormat/>
  </w:style>
  <w:style w:type="paragraph" w:styleId="a7">
    <w:name w:val="header"/>
    <w:basedOn w:val="a0"/>
    <w:link w:val="a6"/>
    <w:uiPriority w:val="99"/>
    <w:unhideWhenUsed/>
    <w:rsid w:val="007E2ADF"/>
    <w:pPr>
      <w:tabs>
        <w:tab w:val="center" w:pos="4677"/>
        <w:tab w:val="right" w:pos="9355"/>
      </w:tabs>
    </w:pPr>
  </w:style>
  <w:style w:type="paragraph" w:styleId="a9">
    <w:name w:val="footer"/>
    <w:basedOn w:val="a0"/>
    <w:link w:val="a8"/>
    <w:uiPriority w:val="99"/>
    <w:unhideWhenUsed/>
    <w:rsid w:val="007E2ADF"/>
    <w:pPr>
      <w:tabs>
        <w:tab w:val="center" w:pos="4677"/>
        <w:tab w:val="right" w:pos="9355"/>
      </w:tabs>
    </w:pPr>
  </w:style>
  <w:style w:type="paragraph" w:styleId="ab">
    <w:name w:val="Balloon Text"/>
    <w:basedOn w:val="a0"/>
    <w:link w:val="aa"/>
    <w:uiPriority w:val="99"/>
    <w:semiHidden/>
    <w:unhideWhenUsed/>
    <w:qFormat/>
    <w:rsid w:val="00495F7F"/>
    <w:rPr>
      <w:rFonts w:ascii="Segoe UI" w:hAnsi="Segoe UI" w:cs="Segoe UI"/>
      <w:sz w:val="18"/>
      <w:szCs w:val="18"/>
    </w:rPr>
  </w:style>
  <w:style w:type="paragraph" w:styleId="af2">
    <w:name w:val="List Paragraph"/>
    <w:basedOn w:val="a0"/>
    <w:uiPriority w:val="34"/>
    <w:qFormat/>
    <w:rsid w:val="00EF0A87"/>
    <w:pPr>
      <w:ind w:left="720"/>
      <w:contextualSpacing/>
    </w:pPr>
  </w:style>
  <w:style w:type="paragraph" w:customStyle="1" w:styleId="Default">
    <w:name w:val="Default"/>
    <w:qFormat/>
    <w:rsid w:val="00EF0A87"/>
    <w:rPr>
      <w:color w:val="000000"/>
      <w:sz w:val="24"/>
      <w:szCs w:val="24"/>
    </w:rPr>
  </w:style>
  <w:style w:type="paragraph" w:styleId="af3">
    <w:name w:val="Normal (Web)"/>
    <w:basedOn w:val="a0"/>
    <w:uiPriority w:val="99"/>
    <w:unhideWhenUsed/>
    <w:qFormat/>
    <w:rsid w:val="0019397C"/>
    <w:pPr>
      <w:spacing w:beforeAutospacing="1" w:afterAutospacing="1"/>
    </w:pPr>
  </w:style>
  <w:style w:type="paragraph" w:customStyle="1" w:styleId="Pa1">
    <w:name w:val="Pa1"/>
    <w:basedOn w:val="Default"/>
    <w:next w:val="Default"/>
    <w:uiPriority w:val="99"/>
    <w:qFormat/>
    <w:rsid w:val="003A09A8"/>
    <w:pPr>
      <w:spacing w:line="241" w:lineRule="atLeast"/>
    </w:pPr>
    <w:rPr>
      <w:rFonts w:ascii="Myriad Pro" w:hAnsi="Myriad Pro"/>
      <w:color w:val="auto"/>
    </w:rPr>
  </w:style>
  <w:style w:type="character" w:customStyle="1" w:styleId="30">
    <w:name w:val="Заголовок 3 Знак"/>
    <w:basedOn w:val="a1"/>
    <w:link w:val="3"/>
    <w:uiPriority w:val="9"/>
    <w:semiHidden/>
    <w:rsid w:val="00973C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Style0">
    <w:name w:val="TableStyle0"/>
    <w:rsid w:val="00973CB7"/>
    <w:pPr>
      <w:suppressAutoHyphens w:val="0"/>
    </w:pPr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4684&amp;p=1210&amp;utm_source=google&amp;utm_medium=organic&amp;utm_referer=www.google.com&amp;utm_startpage=kontur.ru%2Farticles%2F5555&amp;utm_orderpage=kontur.ru%2Farticles%2F55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5D38A-505A-4764-84E8-4965454B6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ЛИЦЕНЗИОННЫЙ ДОГОВОР</vt:lpstr>
    </vt:vector>
  </TitlesOfParts>
  <Company>_</Company>
  <LinksUpToDate>false</LinksUpToDate>
  <CharactersWithSpaces>9825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ЛИЦЕНЗИОННЫЙ ДОГОВОР</dc:title>
  <dc:subject/>
  <dc:creator>shvt</dc:creator>
  <dc:description/>
  <cp:lastModifiedBy>Кашин Олег Вячеславович</cp:lastModifiedBy>
  <cp:revision>18</cp:revision>
  <cp:lastPrinted>2018-06-05T09:47:00Z</cp:lastPrinted>
  <dcterms:created xsi:type="dcterms:W3CDTF">2023-10-12T07:44:00Z</dcterms:created>
  <dcterms:modified xsi:type="dcterms:W3CDTF">2023-10-18T13:34:00Z</dcterms:modified>
  <cp:contentStatus/>
  <dc:language>ru-RU</dc:language>
</cp:coreProperties>
</file>